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51BE3D" w14:textId="77777777" w:rsidR="00AA4536" w:rsidRPr="00AB7354" w:rsidRDefault="00AA4536" w:rsidP="001B0C56">
      <w:pPr>
        <w:spacing w:after="0" w:line="240" w:lineRule="auto"/>
        <w:jc w:val="center"/>
        <w:rPr>
          <w:rFonts w:ascii="Century" w:eastAsia="Times New Roman" w:hAnsi="Century" w:cs="Tahoma"/>
          <w:b/>
          <w:sz w:val="24"/>
          <w:szCs w:val="24"/>
          <w:u w:val="single"/>
          <w:lang w:val="es-ES" w:eastAsia="es-ES"/>
        </w:rPr>
      </w:pPr>
    </w:p>
    <w:p w14:paraId="23FC13D0" w14:textId="77777777" w:rsidR="00122E83" w:rsidRPr="00AB7354" w:rsidRDefault="00AA4536" w:rsidP="001B0C56">
      <w:pPr>
        <w:spacing w:after="0" w:line="240" w:lineRule="auto"/>
        <w:jc w:val="center"/>
        <w:rPr>
          <w:rFonts w:ascii="Century" w:eastAsia="Times New Roman" w:hAnsi="Century" w:cs="Tahoma"/>
          <w:b/>
          <w:sz w:val="24"/>
          <w:szCs w:val="24"/>
          <w:u w:val="single"/>
          <w:lang w:val="es-ES" w:eastAsia="es-ES"/>
        </w:rPr>
      </w:pPr>
      <w:r w:rsidRPr="00AB7354">
        <w:rPr>
          <w:rFonts w:ascii="Century" w:eastAsia="Times New Roman" w:hAnsi="Century" w:cs="Tahoma"/>
          <w:b/>
          <w:sz w:val="24"/>
          <w:szCs w:val="24"/>
          <w:u w:val="single"/>
          <w:lang w:val="es-ES" w:eastAsia="es-ES"/>
        </w:rPr>
        <w:t xml:space="preserve">Ficha técnica y/o pliego de condiciones </w:t>
      </w:r>
    </w:p>
    <w:p w14:paraId="1890CA63" w14:textId="77777777" w:rsidR="00CF6DD1" w:rsidRPr="00AB7354" w:rsidRDefault="00CF6DD1" w:rsidP="001B0C56">
      <w:pPr>
        <w:spacing w:after="0" w:line="240" w:lineRule="auto"/>
        <w:jc w:val="center"/>
        <w:rPr>
          <w:rFonts w:ascii="Century" w:eastAsia="Times New Roman" w:hAnsi="Century" w:cs="Tahoma"/>
          <w:b/>
          <w:sz w:val="24"/>
          <w:szCs w:val="24"/>
          <w:u w:val="single"/>
          <w:lang w:val="es-ES" w:eastAsia="es-ES"/>
        </w:rPr>
      </w:pPr>
    </w:p>
    <w:p w14:paraId="05B0F7CF" w14:textId="7C45DB3A" w:rsidR="00D25D90" w:rsidRPr="00AB7354" w:rsidRDefault="00AA4536" w:rsidP="00AA4536">
      <w:pPr>
        <w:spacing w:after="0" w:line="240" w:lineRule="auto"/>
        <w:jc w:val="both"/>
        <w:rPr>
          <w:rFonts w:ascii="Century" w:eastAsia="Times New Roman" w:hAnsi="Century" w:cs="Tahoma"/>
          <w:bCs/>
          <w:sz w:val="24"/>
          <w:szCs w:val="24"/>
          <w:lang w:val="es-ES" w:eastAsia="es-ES"/>
        </w:rPr>
      </w:pPr>
      <w:r w:rsidRPr="00AB7354">
        <w:rPr>
          <w:rFonts w:ascii="Century" w:eastAsia="Times New Roman" w:hAnsi="Century" w:cs="Tahoma"/>
          <w:bCs/>
          <w:sz w:val="24"/>
          <w:szCs w:val="24"/>
          <w:lang w:val="es-ES" w:eastAsia="es-ES"/>
        </w:rPr>
        <w:t>El objetivo del presente documento es establecer el conjunto de cláusulas técnicas y administrativas, de naturaleza reglamentaria,</w:t>
      </w:r>
      <w:r w:rsidR="00A61462" w:rsidRPr="00AB7354">
        <w:rPr>
          <w:rFonts w:ascii="Century" w:eastAsia="Times New Roman" w:hAnsi="Century" w:cs="Tahoma"/>
          <w:bCs/>
          <w:sz w:val="24"/>
          <w:szCs w:val="24"/>
          <w:lang w:val="es-ES" w:eastAsia="es-ES"/>
        </w:rPr>
        <w:t xml:space="preserve"> </w:t>
      </w:r>
      <w:r w:rsidRPr="00AB7354">
        <w:rPr>
          <w:rFonts w:ascii="Century" w:eastAsia="Times New Roman" w:hAnsi="Century" w:cs="Tahoma"/>
          <w:bCs/>
          <w:sz w:val="24"/>
          <w:szCs w:val="24"/>
          <w:lang w:val="es-ES" w:eastAsia="es-ES"/>
        </w:rPr>
        <w:t>por el que se fijan los</w:t>
      </w:r>
      <w:r w:rsidR="005D7193" w:rsidRPr="00AB7354">
        <w:rPr>
          <w:rFonts w:ascii="Century" w:eastAsia="Times New Roman" w:hAnsi="Century" w:cs="Tahoma"/>
          <w:bCs/>
          <w:sz w:val="24"/>
          <w:szCs w:val="24"/>
          <w:lang w:val="es-ES" w:eastAsia="es-ES"/>
        </w:rPr>
        <w:t xml:space="preserve"> </w:t>
      </w:r>
      <w:r w:rsidRPr="00AB7354">
        <w:rPr>
          <w:rFonts w:ascii="Century" w:eastAsia="Times New Roman" w:hAnsi="Century" w:cs="Tahoma"/>
          <w:bCs/>
          <w:sz w:val="24"/>
          <w:szCs w:val="24"/>
          <w:lang w:val="es-ES" w:eastAsia="es-ES"/>
        </w:rPr>
        <w:t>requisitos, exigencias, y obligaciones de las personas naturales o</w:t>
      </w:r>
      <w:r w:rsidR="005D7193" w:rsidRPr="00AB7354">
        <w:rPr>
          <w:rFonts w:ascii="Century" w:eastAsia="Times New Roman" w:hAnsi="Century" w:cs="Tahoma"/>
          <w:bCs/>
          <w:sz w:val="24"/>
          <w:szCs w:val="24"/>
          <w:lang w:val="es-ES" w:eastAsia="es-ES"/>
        </w:rPr>
        <w:t xml:space="preserve"> </w:t>
      </w:r>
      <w:r w:rsidRPr="00AB7354">
        <w:rPr>
          <w:rFonts w:ascii="Century" w:eastAsia="Times New Roman" w:hAnsi="Century" w:cs="Tahoma"/>
          <w:bCs/>
          <w:sz w:val="24"/>
          <w:szCs w:val="24"/>
          <w:lang w:val="es-ES" w:eastAsia="es-ES"/>
        </w:rPr>
        <w:t xml:space="preserve">jurídicas, nacionales, que deseen participar en el proceso de compras, bajo la modalidad de Compra Menor, para la “Adquisición De </w:t>
      </w:r>
      <w:r w:rsidR="00E73CC7">
        <w:rPr>
          <w:rFonts w:ascii="Century" w:eastAsia="Times New Roman" w:hAnsi="Century" w:cs="Tahoma"/>
          <w:bCs/>
          <w:sz w:val="24"/>
          <w:szCs w:val="24"/>
          <w:lang w:val="es-ES" w:eastAsia="es-ES"/>
        </w:rPr>
        <w:t>materiales de plomería</w:t>
      </w:r>
      <w:r w:rsidRPr="00AB7354">
        <w:rPr>
          <w:rFonts w:ascii="Century" w:eastAsia="Times New Roman" w:hAnsi="Century" w:cs="Tahoma"/>
          <w:bCs/>
          <w:sz w:val="24"/>
          <w:szCs w:val="24"/>
          <w:lang w:val="es-ES" w:eastAsia="es-ES"/>
        </w:rPr>
        <w:t>”, de acuerdo con las</w:t>
      </w:r>
      <w:r w:rsidR="005D7193" w:rsidRPr="00AB7354">
        <w:rPr>
          <w:rFonts w:ascii="Century" w:eastAsia="Times New Roman" w:hAnsi="Century" w:cs="Tahoma"/>
          <w:bCs/>
          <w:sz w:val="24"/>
          <w:szCs w:val="24"/>
          <w:lang w:val="es-ES" w:eastAsia="es-ES"/>
        </w:rPr>
        <w:t xml:space="preserve"> </w:t>
      </w:r>
      <w:r w:rsidRPr="00AB7354">
        <w:rPr>
          <w:rFonts w:ascii="Century" w:eastAsia="Times New Roman" w:hAnsi="Century" w:cs="Tahoma"/>
          <w:bCs/>
          <w:sz w:val="24"/>
          <w:szCs w:val="24"/>
          <w:lang w:val="es-ES" w:eastAsia="es-ES"/>
        </w:rPr>
        <w:t>condiciones fijadas en la siguiente ficha técnica.</w:t>
      </w:r>
    </w:p>
    <w:p w14:paraId="711F6A62" w14:textId="77777777" w:rsidR="00AA4536" w:rsidRPr="00AB7354" w:rsidRDefault="00AA4536" w:rsidP="00AA4536">
      <w:pPr>
        <w:spacing w:after="0" w:line="240" w:lineRule="auto"/>
        <w:jc w:val="both"/>
        <w:rPr>
          <w:rFonts w:ascii="Century" w:eastAsia="Times New Roman" w:hAnsi="Century" w:cs="Tahoma"/>
          <w:bCs/>
          <w:sz w:val="24"/>
          <w:szCs w:val="24"/>
          <w:lang w:val="es-ES" w:eastAsia="es-ES"/>
        </w:rPr>
      </w:pPr>
    </w:p>
    <w:p w14:paraId="5D41158E" w14:textId="77777777" w:rsidR="00AA4536" w:rsidRPr="00AB7354" w:rsidRDefault="00A237EE" w:rsidP="00AA4536">
      <w:pPr>
        <w:spacing w:after="0" w:line="240" w:lineRule="auto"/>
        <w:jc w:val="both"/>
        <w:rPr>
          <w:rFonts w:ascii="Century" w:eastAsia="Times New Roman" w:hAnsi="Century" w:cs="Tahoma"/>
          <w:b/>
          <w:sz w:val="24"/>
          <w:szCs w:val="24"/>
          <w:lang w:val="es-ES" w:eastAsia="es-ES"/>
        </w:rPr>
      </w:pPr>
      <w:r w:rsidRPr="00AB7354">
        <w:rPr>
          <w:rFonts w:ascii="Century" w:eastAsia="Times New Roman" w:hAnsi="Century" w:cs="Tahoma"/>
          <w:b/>
          <w:sz w:val="24"/>
          <w:szCs w:val="24"/>
          <w:lang w:val="es-ES" w:eastAsia="es-ES"/>
        </w:rPr>
        <w:t xml:space="preserve">       </w:t>
      </w:r>
      <w:r w:rsidR="00941FEB" w:rsidRPr="00AB7354">
        <w:rPr>
          <w:rFonts w:ascii="Century" w:eastAsia="Times New Roman" w:hAnsi="Century" w:cs="Tahoma"/>
          <w:b/>
          <w:sz w:val="24"/>
          <w:szCs w:val="24"/>
          <w:lang w:val="es-ES" w:eastAsia="es-ES"/>
        </w:rPr>
        <w:tab/>
      </w:r>
      <w:r w:rsidRPr="00AB7354">
        <w:rPr>
          <w:rFonts w:ascii="Century" w:eastAsia="Times New Roman" w:hAnsi="Century" w:cs="Tahoma"/>
          <w:b/>
          <w:sz w:val="24"/>
          <w:szCs w:val="24"/>
          <w:lang w:val="es-ES" w:eastAsia="es-ES"/>
        </w:rPr>
        <w:t xml:space="preserve"> </w:t>
      </w:r>
      <w:r w:rsidR="00AA4536" w:rsidRPr="00AB7354">
        <w:rPr>
          <w:rFonts w:ascii="Century" w:eastAsia="Times New Roman" w:hAnsi="Century" w:cs="Tahoma"/>
          <w:b/>
          <w:sz w:val="24"/>
          <w:szCs w:val="24"/>
          <w:lang w:val="es-ES" w:eastAsia="es-ES"/>
        </w:rPr>
        <w:t>Requisitos para participar en el concurso</w:t>
      </w:r>
    </w:p>
    <w:p w14:paraId="24E4CE6A" w14:textId="77777777" w:rsidR="00AA4536" w:rsidRPr="00AB7354" w:rsidRDefault="00AA4536" w:rsidP="00AA4536">
      <w:pPr>
        <w:spacing w:after="0" w:line="240" w:lineRule="auto"/>
        <w:jc w:val="both"/>
        <w:rPr>
          <w:rFonts w:ascii="Century" w:eastAsia="Times New Roman" w:hAnsi="Century" w:cs="Tahoma"/>
          <w:b/>
          <w:sz w:val="24"/>
          <w:szCs w:val="24"/>
          <w:lang w:val="es-ES" w:eastAsia="es-ES"/>
        </w:rPr>
      </w:pPr>
    </w:p>
    <w:p w14:paraId="78CF8C93" w14:textId="77777777" w:rsidR="00644153" w:rsidRPr="00AB7354" w:rsidRDefault="00AA4536" w:rsidP="00941FEB">
      <w:pPr>
        <w:spacing w:after="0" w:line="240" w:lineRule="auto"/>
        <w:ind w:firstLine="360"/>
        <w:jc w:val="both"/>
        <w:rPr>
          <w:rFonts w:ascii="Century" w:eastAsia="Times New Roman" w:hAnsi="Century" w:cs="Tahoma"/>
          <w:bCs/>
          <w:sz w:val="24"/>
          <w:szCs w:val="24"/>
          <w:lang w:val="es-ES" w:eastAsia="es-ES"/>
        </w:rPr>
      </w:pPr>
      <w:r w:rsidRPr="00AB7354">
        <w:rPr>
          <w:rFonts w:ascii="Century" w:eastAsia="Times New Roman" w:hAnsi="Century" w:cs="Tahoma"/>
          <w:bCs/>
          <w:sz w:val="24"/>
          <w:szCs w:val="24"/>
          <w:lang w:val="es-ES" w:eastAsia="es-ES"/>
        </w:rPr>
        <w:t>Las empresas participantes tendrán que:</w:t>
      </w:r>
    </w:p>
    <w:p w14:paraId="4D50DBF6" w14:textId="77777777" w:rsidR="00644153" w:rsidRPr="00AB7354" w:rsidRDefault="00644153" w:rsidP="00AA4536">
      <w:pPr>
        <w:spacing w:after="0" w:line="240" w:lineRule="auto"/>
        <w:jc w:val="both"/>
        <w:rPr>
          <w:rFonts w:ascii="Century" w:eastAsia="Times New Roman" w:hAnsi="Century" w:cs="Tahoma"/>
          <w:bCs/>
          <w:sz w:val="24"/>
          <w:szCs w:val="24"/>
          <w:lang w:val="es-ES" w:eastAsia="es-ES"/>
        </w:rPr>
      </w:pPr>
    </w:p>
    <w:p w14:paraId="3213503F" w14:textId="3F5D66D8" w:rsidR="00B24A80" w:rsidRPr="00AB7354" w:rsidRDefault="00C22878" w:rsidP="00B306D1">
      <w:pPr>
        <w:pStyle w:val="Prrafodelista"/>
        <w:numPr>
          <w:ilvl w:val="0"/>
          <w:numId w:val="1"/>
        </w:numPr>
        <w:spacing w:after="0" w:line="240" w:lineRule="auto"/>
        <w:jc w:val="both"/>
        <w:rPr>
          <w:rFonts w:ascii="Century" w:eastAsia="Times New Roman" w:hAnsi="Century" w:cs="Tahoma"/>
          <w:bCs/>
          <w:sz w:val="24"/>
          <w:szCs w:val="24"/>
          <w:lang w:val="es-ES" w:eastAsia="es-ES"/>
        </w:rPr>
      </w:pPr>
      <w:r w:rsidRPr="00AB7354">
        <w:rPr>
          <w:rFonts w:ascii="Century" w:eastAsia="Times New Roman" w:hAnsi="Century" w:cs="Tahoma"/>
          <w:bCs/>
          <w:sz w:val="24"/>
          <w:szCs w:val="24"/>
          <w:lang w:val="es-ES" w:eastAsia="es-ES"/>
        </w:rPr>
        <w:t>E</w:t>
      </w:r>
      <w:r w:rsidR="00644153" w:rsidRPr="00AB7354">
        <w:rPr>
          <w:rFonts w:ascii="Century" w:eastAsia="Times New Roman" w:hAnsi="Century" w:cs="Tahoma"/>
          <w:bCs/>
          <w:sz w:val="24"/>
          <w:szCs w:val="24"/>
          <w:lang w:val="es-ES" w:eastAsia="es-ES"/>
        </w:rPr>
        <w:t>ntregar muestra de los productos ofertados</w:t>
      </w:r>
      <w:r w:rsidR="00E73CC7">
        <w:rPr>
          <w:rFonts w:ascii="Century" w:eastAsia="Times New Roman" w:hAnsi="Century" w:cs="Tahoma"/>
          <w:bCs/>
          <w:sz w:val="24"/>
          <w:szCs w:val="24"/>
          <w:lang w:val="es-ES" w:eastAsia="es-ES"/>
        </w:rPr>
        <w:t>.</w:t>
      </w:r>
      <w:r w:rsidR="00B24A80" w:rsidRPr="00AB7354">
        <w:rPr>
          <w:rFonts w:ascii="Century" w:eastAsia="Times New Roman" w:hAnsi="Century" w:cs="Tahoma"/>
          <w:bCs/>
          <w:sz w:val="24"/>
          <w:szCs w:val="24"/>
          <w:lang w:val="es-ES" w:eastAsia="es-ES"/>
        </w:rPr>
        <w:t xml:space="preserve"> </w:t>
      </w:r>
    </w:p>
    <w:p w14:paraId="29FA5F99" w14:textId="77777777" w:rsidR="00644153" w:rsidRPr="00AB7354" w:rsidRDefault="00644153" w:rsidP="00B306D1">
      <w:pPr>
        <w:pStyle w:val="Prrafodelista"/>
        <w:numPr>
          <w:ilvl w:val="0"/>
          <w:numId w:val="1"/>
        </w:numPr>
        <w:spacing w:after="0" w:line="240" w:lineRule="auto"/>
        <w:jc w:val="both"/>
        <w:rPr>
          <w:rFonts w:ascii="Century" w:eastAsia="Times New Roman" w:hAnsi="Century" w:cs="Tahoma"/>
          <w:bCs/>
          <w:sz w:val="24"/>
          <w:szCs w:val="24"/>
          <w:lang w:val="es-ES" w:eastAsia="es-ES"/>
        </w:rPr>
      </w:pPr>
      <w:r w:rsidRPr="00AB7354">
        <w:rPr>
          <w:rFonts w:ascii="Century" w:eastAsia="Times New Roman" w:hAnsi="Century" w:cs="Tahoma"/>
          <w:bCs/>
          <w:sz w:val="24"/>
          <w:szCs w:val="24"/>
          <w:lang w:val="es-ES" w:eastAsia="es-ES"/>
        </w:rPr>
        <w:t xml:space="preserve">La muestra debe ser entregada en una caja con todos los productos que el proveedor este ofertando la caja debe estar rotulada con el nombre de la empresa el teléfono y correo electrónico del representante. </w:t>
      </w:r>
    </w:p>
    <w:p w14:paraId="05323AD7" w14:textId="77777777" w:rsidR="00AA4536" w:rsidRPr="00AB7354" w:rsidRDefault="00AA4536" w:rsidP="00644153">
      <w:pPr>
        <w:pStyle w:val="Prrafodelista"/>
        <w:numPr>
          <w:ilvl w:val="0"/>
          <w:numId w:val="1"/>
        </w:numPr>
        <w:spacing w:after="0" w:line="240" w:lineRule="auto"/>
        <w:jc w:val="both"/>
        <w:rPr>
          <w:rFonts w:ascii="Century" w:eastAsia="Times New Roman" w:hAnsi="Century" w:cs="Tahoma"/>
          <w:bCs/>
          <w:sz w:val="24"/>
          <w:szCs w:val="24"/>
          <w:lang w:val="es-ES" w:eastAsia="es-ES"/>
        </w:rPr>
      </w:pPr>
      <w:r w:rsidRPr="00AB7354">
        <w:rPr>
          <w:rFonts w:ascii="Century" w:eastAsia="Times New Roman" w:hAnsi="Century" w:cs="Tahoma"/>
          <w:bCs/>
          <w:sz w:val="24"/>
          <w:szCs w:val="24"/>
          <w:lang w:val="es-ES" w:eastAsia="es-ES"/>
        </w:rPr>
        <w:t>Formulario de entrega de muestras (SNCC.F.056)</w:t>
      </w:r>
    </w:p>
    <w:p w14:paraId="7307FDCE" w14:textId="77777777" w:rsidR="00AA4536" w:rsidRPr="00AB7354" w:rsidRDefault="00644153" w:rsidP="00644153">
      <w:pPr>
        <w:pStyle w:val="Prrafodelista"/>
        <w:numPr>
          <w:ilvl w:val="0"/>
          <w:numId w:val="1"/>
        </w:numPr>
        <w:spacing w:after="0" w:line="240" w:lineRule="auto"/>
        <w:jc w:val="both"/>
        <w:rPr>
          <w:rFonts w:ascii="Century" w:eastAsia="Times New Roman" w:hAnsi="Century" w:cs="Tahoma"/>
          <w:bCs/>
          <w:sz w:val="24"/>
          <w:szCs w:val="24"/>
          <w:lang w:val="es-ES" w:eastAsia="es-ES"/>
        </w:rPr>
      </w:pPr>
      <w:r w:rsidRPr="00AB7354">
        <w:rPr>
          <w:rFonts w:ascii="Century" w:eastAsia="Times New Roman" w:hAnsi="Century" w:cs="Tahoma"/>
          <w:bCs/>
          <w:sz w:val="24"/>
          <w:szCs w:val="24"/>
          <w:lang w:val="es-ES" w:eastAsia="es-ES"/>
        </w:rPr>
        <w:t>Registro de Proveedores del Estado actualizado (RPE)</w:t>
      </w:r>
    </w:p>
    <w:p w14:paraId="14A0AE6A" w14:textId="77777777" w:rsidR="00644153" w:rsidRPr="00AB7354" w:rsidRDefault="00644153" w:rsidP="00644153">
      <w:pPr>
        <w:pStyle w:val="Prrafodelista"/>
        <w:numPr>
          <w:ilvl w:val="0"/>
          <w:numId w:val="1"/>
        </w:numPr>
        <w:spacing w:after="0" w:line="240" w:lineRule="auto"/>
        <w:jc w:val="both"/>
        <w:rPr>
          <w:rFonts w:ascii="Century" w:eastAsia="Times New Roman" w:hAnsi="Century" w:cs="Tahoma"/>
          <w:bCs/>
          <w:sz w:val="24"/>
          <w:szCs w:val="24"/>
          <w:lang w:val="es-ES" w:eastAsia="es-ES"/>
        </w:rPr>
      </w:pPr>
      <w:r w:rsidRPr="00AB7354">
        <w:rPr>
          <w:rFonts w:ascii="Century" w:eastAsia="Times New Roman" w:hAnsi="Century" w:cs="Tahoma"/>
          <w:bCs/>
          <w:sz w:val="24"/>
          <w:szCs w:val="24"/>
          <w:lang w:val="es-ES" w:eastAsia="es-ES"/>
        </w:rPr>
        <w:t>Certificación emitida por la Dirección General de Impuestos Internos (DGII) donde manifieste que el oferente está al día en el pago de sus obligaciones fiscales.</w:t>
      </w:r>
    </w:p>
    <w:p w14:paraId="734FE59B" w14:textId="77777777" w:rsidR="00644153" w:rsidRPr="00AB7354" w:rsidRDefault="00644153" w:rsidP="00644153">
      <w:pPr>
        <w:pStyle w:val="Prrafodelista"/>
        <w:numPr>
          <w:ilvl w:val="0"/>
          <w:numId w:val="1"/>
        </w:numPr>
        <w:spacing w:after="0" w:line="240" w:lineRule="auto"/>
        <w:jc w:val="both"/>
        <w:rPr>
          <w:rFonts w:ascii="Century" w:eastAsia="Times New Roman" w:hAnsi="Century" w:cs="Tahoma"/>
          <w:bCs/>
          <w:sz w:val="24"/>
          <w:szCs w:val="24"/>
          <w:lang w:val="es-ES" w:eastAsia="es-ES"/>
        </w:rPr>
      </w:pPr>
      <w:r w:rsidRPr="00AB7354">
        <w:rPr>
          <w:rFonts w:ascii="Century" w:eastAsia="Times New Roman" w:hAnsi="Century" w:cs="Tahoma"/>
          <w:bCs/>
          <w:sz w:val="24"/>
          <w:szCs w:val="24"/>
          <w:lang w:val="es-ES" w:eastAsia="es-ES"/>
        </w:rPr>
        <w:t>Certificación de la Tesorería de la Seguridad Social (TSS) vigente.</w:t>
      </w:r>
    </w:p>
    <w:p w14:paraId="5B2867FD" w14:textId="77777777" w:rsidR="00644153" w:rsidRPr="00AB7354" w:rsidRDefault="00644153" w:rsidP="00644153">
      <w:pPr>
        <w:pStyle w:val="Prrafodelista"/>
        <w:numPr>
          <w:ilvl w:val="0"/>
          <w:numId w:val="1"/>
        </w:numPr>
        <w:spacing w:after="0" w:line="240" w:lineRule="auto"/>
        <w:jc w:val="both"/>
        <w:rPr>
          <w:rFonts w:ascii="Century" w:eastAsia="Times New Roman" w:hAnsi="Century" w:cs="Tahoma"/>
          <w:bCs/>
          <w:sz w:val="24"/>
          <w:szCs w:val="24"/>
          <w:lang w:val="es-ES" w:eastAsia="es-ES"/>
        </w:rPr>
      </w:pPr>
      <w:r w:rsidRPr="00AB7354">
        <w:rPr>
          <w:rFonts w:ascii="Century" w:eastAsia="Times New Roman" w:hAnsi="Century" w:cs="Tahoma"/>
          <w:bCs/>
          <w:sz w:val="24"/>
          <w:szCs w:val="24"/>
          <w:lang w:val="es-ES" w:eastAsia="es-ES"/>
        </w:rPr>
        <w:t>Copia de Cédula de identidad del gerente o del representante legal autorizado a</w:t>
      </w:r>
    </w:p>
    <w:p w14:paraId="382A3857" w14:textId="77777777" w:rsidR="00644153" w:rsidRPr="00AB7354" w:rsidRDefault="00644153" w:rsidP="00644153">
      <w:pPr>
        <w:pStyle w:val="Prrafodelista"/>
        <w:numPr>
          <w:ilvl w:val="0"/>
          <w:numId w:val="1"/>
        </w:numPr>
        <w:spacing w:after="0" w:line="240" w:lineRule="auto"/>
        <w:jc w:val="both"/>
        <w:rPr>
          <w:rFonts w:ascii="Century" w:eastAsia="Times New Roman" w:hAnsi="Century" w:cs="Tahoma"/>
          <w:bCs/>
          <w:sz w:val="24"/>
          <w:szCs w:val="24"/>
          <w:lang w:val="es-ES" w:eastAsia="es-ES"/>
        </w:rPr>
      </w:pPr>
      <w:r w:rsidRPr="00AB7354">
        <w:rPr>
          <w:rFonts w:ascii="Century" w:eastAsia="Times New Roman" w:hAnsi="Century" w:cs="Tahoma"/>
          <w:bCs/>
          <w:sz w:val="24"/>
          <w:szCs w:val="24"/>
          <w:lang w:val="es-ES" w:eastAsia="es-ES"/>
        </w:rPr>
        <w:t>firmar.</w:t>
      </w:r>
    </w:p>
    <w:p w14:paraId="46C03CDE" w14:textId="77777777" w:rsidR="00644153" w:rsidRPr="00AB7354" w:rsidRDefault="00644153" w:rsidP="00644153">
      <w:pPr>
        <w:pStyle w:val="Prrafodelista"/>
        <w:numPr>
          <w:ilvl w:val="0"/>
          <w:numId w:val="1"/>
        </w:numPr>
        <w:spacing w:after="0" w:line="240" w:lineRule="auto"/>
        <w:jc w:val="both"/>
        <w:rPr>
          <w:rFonts w:ascii="Century" w:eastAsia="Times New Roman" w:hAnsi="Century" w:cs="Tahoma"/>
          <w:bCs/>
          <w:sz w:val="24"/>
          <w:szCs w:val="24"/>
          <w:lang w:val="es-ES" w:eastAsia="es-ES"/>
        </w:rPr>
      </w:pPr>
      <w:r w:rsidRPr="00AB7354">
        <w:rPr>
          <w:rFonts w:ascii="Century" w:eastAsia="Times New Roman" w:hAnsi="Century" w:cs="Tahoma"/>
          <w:bCs/>
          <w:sz w:val="24"/>
          <w:szCs w:val="24"/>
          <w:lang w:val="es-ES" w:eastAsia="es-ES"/>
        </w:rPr>
        <w:t>Registro Mercantil.</w:t>
      </w:r>
    </w:p>
    <w:p w14:paraId="57EBF3A1" w14:textId="77777777" w:rsidR="00715199" w:rsidRPr="00AB7354" w:rsidRDefault="00715199" w:rsidP="00715199">
      <w:pPr>
        <w:spacing w:after="0" w:line="240" w:lineRule="auto"/>
        <w:ind w:left="360"/>
        <w:jc w:val="both"/>
        <w:rPr>
          <w:rFonts w:ascii="Century" w:eastAsia="Times New Roman" w:hAnsi="Century" w:cs="Tahoma"/>
          <w:bCs/>
          <w:sz w:val="24"/>
          <w:szCs w:val="24"/>
          <w:lang w:val="es-ES" w:eastAsia="es-ES"/>
        </w:rPr>
      </w:pPr>
    </w:p>
    <w:p w14:paraId="11EE3F4F" w14:textId="77777777" w:rsidR="00A237EE" w:rsidRPr="00AB7354" w:rsidRDefault="00715199" w:rsidP="00715199">
      <w:pPr>
        <w:spacing w:after="0" w:line="240" w:lineRule="auto"/>
        <w:ind w:left="360"/>
        <w:jc w:val="both"/>
        <w:rPr>
          <w:rFonts w:ascii="Century" w:eastAsia="Times New Roman" w:hAnsi="Century" w:cs="Tahoma"/>
          <w:b/>
          <w:sz w:val="24"/>
          <w:szCs w:val="24"/>
          <w:lang w:val="es-ES" w:eastAsia="es-ES"/>
        </w:rPr>
      </w:pPr>
      <w:r w:rsidRPr="00AB7354">
        <w:rPr>
          <w:rFonts w:ascii="Century" w:eastAsia="Times New Roman" w:hAnsi="Century" w:cs="Tahoma"/>
          <w:b/>
          <w:sz w:val="24"/>
          <w:szCs w:val="24"/>
          <w:lang w:val="es-ES" w:eastAsia="es-ES"/>
        </w:rPr>
        <w:t>Forma de pago</w:t>
      </w:r>
    </w:p>
    <w:p w14:paraId="7BFF68AD" w14:textId="77777777" w:rsidR="00715199" w:rsidRPr="00AB7354" w:rsidRDefault="00715199" w:rsidP="00715199">
      <w:pPr>
        <w:spacing w:after="0" w:line="240" w:lineRule="auto"/>
        <w:ind w:left="360"/>
        <w:jc w:val="both"/>
        <w:rPr>
          <w:rFonts w:ascii="Century" w:eastAsia="Times New Roman" w:hAnsi="Century" w:cs="Tahoma"/>
          <w:b/>
          <w:sz w:val="24"/>
          <w:szCs w:val="24"/>
          <w:lang w:val="es-ES" w:eastAsia="es-ES"/>
        </w:rPr>
      </w:pPr>
    </w:p>
    <w:p w14:paraId="105FB0C8" w14:textId="77777777" w:rsidR="00715199" w:rsidRPr="00AB7354" w:rsidRDefault="00715199" w:rsidP="00715199">
      <w:pPr>
        <w:pStyle w:val="Prrafodelista"/>
        <w:numPr>
          <w:ilvl w:val="0"/>
          <w:numId w:val="5"/>
        </w:numPr>
        <w:spacing w:after="0" w:line="240" w:lineRule="auto"/>
        <w:jc w:val="both"/>
        <w:rPr>
          <w:rFonts w:ascii="Century" w:eastAsia="Times New Roman" w:hAnsi="Century" w:cs="Tahoma"/>
          <w:bCs/>
          <w:sz w:val="24"/>
          <w:szCs w:val="24"/>
          <w:lang w:val="es-ES" w:eastAsia="es-ES"/>
        </w:rPr>
      </w:pPr>
      <w:r w:rsidRPr="00AB7354">
        <w:rPr>
          <w:rFonts w:ascii="Century" w:eastAsia="Times New Roman" w:hAnsi="Century" w:cs="Tahoma"/>
          <w:bCs/>
          <w:sz w:val="24"/>
          <w:szCs w:val="24"/>
          <w:lang w:val="es-ES" w:eastAsia="es-ES"/>
        </w:rPr>
        <w:t>Crédito</w:t>
      </w:r>
    </w:p>
    <w:p w14:paraId="420DACEB" w14:textId="77777777" w:rsidR="00941FEB" w:rsidRPr="00AB7354" w:rsidRDefault="00941FEB" w:rsidP="00A237EE">
      <w:pPr>
        <w:spacing w:after="0" w:line="240" w:lineRule="auto"/>
        <w:ind w:left="720"/>
        <w:jc w:val="both"/>
        <w:rPr>
          <w:rFonts w:ascii="Century" w:eastAsia="Times New Roman" w:hAnsi="Century" w:cs="Tahoma"/>
          <w:b/>
          <w:sz w:val="24"/>
          <w:szCs w:val="24"/>
          <w:lang w:val="es-ES" w:eastAsia="es-ES"/>
        </w:rPr>
      </w:pPr>
    </w:p>
    <w:p w14:paraId="21AF790E" w14:textId="77777777" w:rsidR="00941FEB" w:rsidRPr="00AB7354" w:rsidRDefault="00941FEB" w:rsidP="00A237EE">
      <w:pPr>
        <w:spacing w:after="0" w:line="240" w:lineRule="auto"/>
        <w:ind w:left="720"/>
        <w:jc w:val="both"/>
        <w:rPr>
          <w:rFonts w:ascii="Century" w:eastAsia="Times New Roman" w:hAnsi="Century" w:cs="Tahoma"/>
          <w:b/>
          <w:sz w:val="24"/>
          <w:szCs w:val="24"/>
          <w:lang w:val="es-ES" w:eastAsia="es-ES"/>
        </w:rPr>
      </w:pPr>
    </w:p>
    <w:p w14:paraId="4C9A9E5F" w14:textId="77777777" w:rsidR="00AB7354" w:rsidRPr="00AB7354" w:rsidRDefault="00AB7354" w:rsidP="00AB7354">
      <w:pPr>
        <w:tabs>
          <w:tab w:val="left" w:pos="0"/>
        </w:tabs>
        <w:autoSpaceDE w:val="0"/>
        <w:autoSpaceDN w:val="0"/>
        <w:adjustRightInd w:val="0"/>
        <w:spacing w:after="0" w:line="240" w:lineRule="auto"/>
        <w:ind w:left="540"/>
        <w:jc w:val="both"/>
        <w:rPr>
          <w:rFonts w:ascii="Century" w:hAnsi="Century" w:cs="Arial"/>
          <w:color w:val="000000"/>
          <w:sz w:val="24"/>
          <w:szCs w:val="24"/>
          <w:lang w:val="es-ES"/>
        </w:rPr>
      </w:pPr>
    </w:p>
    <w:p w14:paraId="62BA73E2" w14:textId="4CE44E6C" w:rsidR="00AB7354" w:rsidRPr="00AB7354" w:rsidRDefault="00AB7354" w:rsidP="00AB7354">
      <w:pPr>
        <w:pStyle w:val="Ttulo3"/>
        <w:rPr>
          <w:rFonts w:ascii="Century" w:hAnsi="Century"/>
          <w:b/>
          <w:bCs/>
          <w:color w:val="000000" w:themeColor="text1"/>
        </w:rPr>
      </w:pPr>
      <w:r w:rsidRPr="00AB7354">
        <w:rPr>
          <w:rFonts w:ascii="Century" w:hAnsi="Century"/>
          <w:b/>
          <w:bCs/>
          <w:color w:val="000000" w:themeColor="text1"/>
        </w:rPr>
        <w:lastRenderedPageBreak/>
        <w:t xml:space="preserve">Consultas, circulares y enmiendas </w:t>
      </w:r>
    </w:p>
    <w:p w14:paraId="25FC88FC" w14:textId="77777777" w:rsidR="00AB7354" w:rsidRPr="00AB7354" w:rsidRDefault="00AB7354" w:rsidP="00AB7354">
      <w:pPr>
        <w:jc w:val="both"/>
        <w:rPr>
          <w:rFonts w:ascii="Century" w:hAnsi="Century" w:cs="Arial"/>
          <w:sz w:val="24"/>
          <w:szCs w:val="24"/>
        </w:rPr>
      </w:pPr>
      <w:r w:rsidRPr="00AB7354">
        <w:rPr>
          <w:rFonts w:ascii="Century" w:hAnsi="Century" w:cs="Arial"/>
          <w:sz w:val="24"/>
          <w:szCs w:val="24"/>
        </w:rPr>
        <w:t xml:space="preserve">Los interesados podrán solicitar al CECANOT aclaraciones acerca de las Fichas Técnicas, hasta la fecha que coincida con el </w:t>
      </w:r>
      <w:r w:rsidRPr="00AB7354">
        <w:rPr>
          <w:rFonts w:ascii="Century" w:hAnsi="Century" w:cs="Arial"/>
          <w:b/>
          <w:sz w:val="24"/>
          <w:szCs w:val="24"/>
        </w:rPr>
        <w:t>CINCUENTA POR CIENTO (50%)</w:t>
      </w:r>
      <w:r w:rsidRPr="00AB7354">
        <w:rPr>
          <w:rFonts w:ascii="Century" w:hAnsi="Century" w:cs="Arial"/>
          <w:sz w:val="24"/>
          <w:szCs w:val="24"/>
        </w:rPr>
        <w:t xml:space="preserve"> del plazo para la presentación de las Ofertas.  Las consultas las formularán los Oferentes, sus representantes legales, o agentes autorizados por escrito, dirigidas a la Unidad Operativa de Compras y Contrataciones dentro del plazo previsto, quien se encargará de obtener las respuestas confor</w:t>
      </w:r>
      <w:bookmarkStart w:id="0" w:name="_Toc379797385"/>
      <w:bookmarkStart w:id="1" w:name="_Toc185953156"/>
      <w:bookmarkStart w:id="2" w:name="_Toc159673583"/>
      <w:r w:rsidRPr="00AB7354">
        <w:rPr>
          <w:rFonts w:ascii="Century" w:hAnsi="Century" w:cs="Arial"/>
          <w:sz w:val="24"/>
          <w:szCs w:val="24"/>
        </w:rPr>
        <w:t xml:space="preserve">me a la naturaleza de </w:t>
      </w:r>
      <w:proofErr w:type="gramStart"/>
      <w:r w:rsidRPr="00AB7354">
        <w:rPr>
          <w:rFonts w:ascii="Century" w:hAnsi="Century" w:cs="Arial"/>
          <w:sz w:val="24"/>
          <w:szCs w:val="24"/>
        </w:rPr>
        <w:t>la misma</w:t>
      </w:r>
      <w:proofErr w:type="gramEnd"/>
      <w:r w:rsidRPr="00AB7354">
        <w:rPr>
          <w:rFonts w:ascii="Century" w:hAnsi="Century" w:cs="Arial"/>
          <w:sz w:val="24"/>
          <w:szCs w:val="24"/>
        </w:rPr>
        <w:t>.</w:t>
      </w:r>
    </w:p>
    <w:p w14:paraId="641FE3E4" w14:textId="77777777" w:rsidR="00AB7354" w:rsidRPr="00AB7354" w:rsidRDefault="00AB7354" w:rsidP="00AB7354">
      <w:pPr>
        <w:pStyle w:val="Ttulo3"/>
        <w:rPr>
          <w:rStyle w:val="Hipervnculo"/>
          <w:rFonts w:ascii="Century" w:hAnsi="Century"/>
          <w:b/>
          <w:bCs/>
          <w:color w:val="000000" w:themeColor="text1"/>
        </w:rPr>
      </w:pPr>
      <w:r w:rsidRPr="00AB7354">
        <w:rPr>
          <w:rFonts w:ascii="Century" w:hAnsi="Century"/>
          <w:b/>
          <w:bCs/>
          <w:color w:val="000000" w:themeColor="text1"/>
        </w:rPr>
        <w:t>*Dirección</w:t>
      </w:r>
      <w:bookmarkEnd w:id="0"/>
      <w:bookmarkEnd w:id="1"/>
      <w:bookmarkEnd w:id="2"/>
      <w:r w:rsidRPr="00AB7354">
        <w:rPr>
          <w:rFonts w:ascii="Century" w:hAnsi="Century"/>
          <w:b/>
          <w:bCs/>
          <w:color w:val="000000" w:themeColor="text1"/>
        </w:rPr>
        <w:t xml:space="preserve"> de correo electrónico: </w:t>
      </w:r>
      <w:hyperlink r:id="rId8" w:history="1">
        <w:r w:rsidRPr="00AB7354">
          <w:rPr>
            <w:rStyle w:val="Hipervnculo"/>
            <w:rFonts w:ascii="Century" w:hAnsi="Century"/>
            <w:b/>
            <w:bCs/>
            <w:color w:val="000000" w:themeColor="text1"/>
          </w:rPr>
          <w:t>compras@cecanot.com.do</w:t>
        </w:r>
      </w:hyperlink>
    </w:p>
    <w:p w14:paraId="36769272" w14:textId="77777777" w:rsidR="00AB7354" w:rsidRPr="00AB7354" w:rsidRDefault="00AB7354" w:rsidP="00AB7354">
      <w:pPr>
        <w:rPr>
          <w:rFonts w:ascii="Century" w:hAnsi="Century"/>
          <w:sz w:val="24"/>
          <w:szCs w:val="24"/>
          <w:lang w:val="es-ES" w:eastAsia="es-ES"/>
        </w:rPr>
      </w:pPr>
    </w:p>
    <w:p w14:paraId="7DDCF979" w14:textId="77777777" w:rsidR="00AB7354" w:rsidRPr="00AB7354" w:rsidRDefault="00AB7354" w:rsidP="00AB7354">
      <w:pPr>
        <w:pStyle w:val="Textoindependiente"/>
        <w:rPr>
          <w:rFonts w:ascii="Century" w:hAnsi="Century" w:cs="Arial"/>
          <w:color w:val="auto"/>
        </w:rPr>
      </w:pPr>
      <w:r w:rsidRPr="00AB7354">
        <w:rPr>
          <w:rFonts w:ascii="Century" w:hAnsi="Century" w:cs="Arial"/>
          <w:color w:val="auto"/>
        </w:rPr>
        <w:t>Las Consultas se remitirán al Comité de Compras y Contrataciones, dirigidas a:</w:t>
      </w:r>
    </w:p>
    <w:p w14:paraId="215BA3E6" w14:textId="77777777" w:rsidR="00AB7354" w:rsidRPr="00AB7354" w:rsidRDefault="00AB7354" w:rsidP="00AB7354">
      <w:pPr>
        <w:spacing w:after="0"/>
        <w:jc w:val="both"/>
        <w:rPr>
          <w:rFonts w:ascii="Century" w:hAnsi="Century" w:cs="Arial"/>
          <w:sz w:val="24"/>
          <w:szCs w:val="24"/>
        </w:rPr>
      </w:pPr>
    </w:p>
    <w:p w14:paraId="53AB7BA8" w14:textId="77777777" w:rsidR="00AB7354" w:rsidRPr="00AB7354" w:rsidRDefault="00AB7354" w:rsidP="00AB7354">
      <w:pPr>
        <w:spacing w:after="0"/>
        <w:rPr>
          <w:rFonts w:ascii="Century" w:hAnsi="Century" w:cs="Arial"/>
          <w:sz w:val="24"/>
          <w:szCs w:val="24"/>
        </w:rPr>
      </w:pPr>
      <w:r w:rsidRPr="00AB7354">
        <w:rPr>
          <w:rFonts w:ascii="Century" w:hAnsi="Century" w:cs="Arial"/>
          <w:sz w:val="24"/>
          <w:szCs w:val="24"/>
        </w:rPr>
        <w:t>COMITÉ DE COMPRAS Y CONTRATACIONES</w:t>
      </w:r>
    </w:p>
    <w:p w14:paraId="74B3B259" w14:textId="77777777" w:rsidR="00AB7354" w:rsidRPr="00AB7354" w:rsidRDefault="00AB7354" w:rsidP="00AB7354">
      <w:pPr>
        <w:spacing w:after="0"/>
        <w:rPr>
          <w:rFonts w:ascii="Century" w:hAnsi="Century" w:cs="Arial"/>
          <w:b/>
          <w:sz w:val="24"/>
          <w:szCs w:val="24"/>
        </w:rPr>
      </w:pPr>
      <w:r w:rsidRPr="00AB7354">
        <w:rPr>
          <w:rFonts w:ascii="Century" w:hAnsi="Century" w:cs="Arial"/>
          <w:b/>
          <w:sz w:val="24"/>
          <w:szCs w:val="24"/>
        </w:rPr>
        <w:t xml:space="preserve">Centro Cardio Neuro Oftalmológico y Trasplante </w:t>
      </w:r>
    </w:p>
    <w:p w14:paraId="2CCDE3C3" w14:textId="77777777" w:rsidR="00AB7354" w:rsidRPr="00AB7354" w:rsidRDefault="00AB7354" w:rsidP="00AB7354">
      <w:pPr>
        <w:spacing w:after="0"/>
        <w:rPr>
          <w:rFonts w:ascii="Century" w:hAnsi="Century" w:cs="Arial"/>
          <w:b/>
          <w:color w:val="800000"/>
          <w:sz w:val="24"/>
          <w:szCs w:val="24"/>
        </w:rPr>
      </w:pPr>
      <w:r w:rsidRPr="00AB7354">
        <w:rPr>
          <w:rFonts w:ascii="Century" w:hAnsi="Century" w:cs="Arial"/>
          <w:b/>
          <w:sz w:val="24"/>
          <w:szCs w:val="24"/>
        </w:rPr>
        <w:t>Dirección:</w:t>
      </w:r>
      <w:r w:rsidRPr="00AB7354">
        <w:rPr>
          <w:rFonts w:ascii="Century" w:hAnsi="Century" w:cs="Arial"/>
          <w:sz w:val="24"/>
          <w:szCs w:val="24"/>
        </w:rPr>
        <w:t xml:space="preserve"> Calle Federico Velásquez No. 1, sector María Auxiliadora</w:t>
      </w:r>
    </w:p>
    <w:p w14:paraId="71A78B2D" w14:textId="77777777" w:rsidR="00AB7354" w:rsidRPr="00AB7354" w:rsidRDefault="00AB7354" w:rsidP="00AB7354">
      <w:pPr>
        <w:spacing w:after="0"/>
        <w:rPr>
          <w:rFonts w:ascii="Century" w:hAnsi="Century" w:cs="Arial"/>
          <w:b/>
          <w:color w:val="800000"/>
          <w:sz w:val="24"/>
          <w:szCs w:val="24"/>
        </w:rPr>
      </w:pPr>
      <w:r w:rsidRPr="00AB7354">
        <w:rPr>
          <w:rFonts w:ascii="Century" w:hAnsi="Century" w:cs="Arial"/>
          <w:b/>
          <w:sz w:val="24"/>
          <w:szCs w:val="24"/>
        </w:rPr>
        <w:t>Teléfonos:</w:t>
      </w:r>
      <w:r w:rsidRPr="00AB7354">
        <w:rPr>
          <w:rFonts w:ascii="Century" w:hAnsi="Century" w:cs="Arial"/>
          <w:sz w:val="24"/>
          <w:szCs w:val="24"/>
        </w:rPr>
        <w:t xml:space="preserve"> (809) 681-0080 Ext. 230</w:t>
      </w:r>
    </w:p>
    <w:p w14:paraId="4393274C" w14:textId="77777777" w:rsidR="00AB7354" w:rsidRPr="00AB7354" w:rsidRDefault="00AB7354" w:rsidP="00AB7354">
      <w:pPr>
        <w:spacing w:after="0"/>
        <w:rPr>
          <w:rFonts w:ascii="Century" w:hAnsi="Century" w:cs="Arial"/>
          <w:sz w:val="24"/>
          <w:szCs w:val="24"/>
        </w:rPr>
      </w:pPr>
    </w:p>
    <w:p w14:paraId="7F576273" w14:textId="77777777" w:rsidR="00AB7354" w:rsidRPr="00AB7354" w:rsidRDefault="00AB7354" w:rsidP="00AB7354">
      <w:pPr>
        <w:jc w:val="both"/>
        <w:rPr>
          <w:rFonts w:ascii="Century" w:hAnsi="Century" w:cs="Arial"/>
          <w:sz w:val="24"/>
          <w:szCs w:val="24"/>
        </w:rPr>
      </w:pPr>
      <w:r w:rsidRPr="00AB7354">
        <w:rPr>
          <w:rFonts w:ascii="Century" w:hAnsi="Century" w:cs="Arial"/>
          <w:sz w:val="24"/>
          <w:szCs w:val="24"/>
        </w:rPr>
        <w:t>La Unidad Operativa de Compras y Contrataciones para dar respuestas a tales consultas, deberá emitir circulares aclaratorias.  Dichas circulares deberán ser emitidas solo con las preguntas y las respuestas, sin identificar quien consultó, en un plazo no más allá de la fecha que signifique el</w:t>
      </w:r>
      <w:r w:rsidRPr="00AB7354">
        <w:rPr>
          <w:rFonts w:ascii="Century" w:hAnsi="Century" w:cs="Arial"/>
          <w:b/>
          <w:sz w:val="24"/>
          <w:szCs w:val="24"/>
        </w:rPr>
        <w:t xml:space="preserve"> SETENTA Y CINCO POR </w:t>
      </w:r>
      <w:proofErr w:type="gramStart"/>
      <w:r w:rsidRPr="00AB7354">
        <w:rPr>
          <w:rFonts w:ascii="Century" w:hAnsi="Century" w:cs="Arial"/>
          <w:b/>
          <w:sz w:val="24"/>
          <w:szCs w:val="24"/>
        </w:rPr>
        <w:t>CIENTO(</w:t>
      </w:r>
      <w:proofErr w:type="gramEnd"/>
      <w:r w:rsidRPr="00AB7354">
        <w:rPr>
          <w:rFonts w:ascii="Century" w:hAnsi="Century" w:cs="Arial"/>
          <w:b/>
          <w:sz w:val="24"/>
          <w:szCs w:val="24"/>
        </w:rPr>
        <w:t>75%)</w:t>
      </w:r>
      <w:r w:rsidRPr="00AB7354">
        <w:rPr>
          <w:rFonts w:ascii="Century" w:hAnsi="Century" w:cs="Arial"/>
          <w:sz w:val="24"/>
          <w:szCs w:val="24"/>
        </w:rPr>
        <w:t xml:space="preserve"> del plazo previsto para la presentación de las Ofertas y deberán ser notificadas a todos los Oferentes que hayan adquirido el Pliego de Condiciones Específicas y publicadas en el portal institucional y en el administrado por el Órgano Rector.</w:t>
      </w:r>
    </w:p>
    <w:p w14:paraId="5668DFCB" w14:textId="77777777" w:rsidR="00AB7354" w:rsidRPr="00AB7354" w:rsidRDefault="00AB7354" w:rsidP="00AB7354">
      <w:pPr>
        <w:pStyle w:val="Ttulo3"/>
        <w:keepLines w:val="0"/>
        <w:tabs>
          <w:tab w:val="left" w:pos="7920"/>
          <w:tab w:val="left" w:pos="9895"/>
        </w:tabs>
        <w:autoSpaceDE w:val="0"/>
        <w:autoSpaceDN w:val="0"/>
        <w:adjustRightInd w:val="0"/>
        <w:spacing w:before="0" w:line="240" w:lineRule="auto"/>
        <w:rPr>
          <w:rFonts w:ascii="Century" w:hAnsi="Century"/>
          <w:b/>
          <w:bCs/>
          <w:color w:val="000000" w:themeColor="text1"/>
        </w:rPr>
      </w:pPr>
      <w:bookmarkStart w:id="3" w:name="_Toc379797386"/>
      <w:bookmarkStart w:id="4" w:name="_Toc185953157"/>
      <w:bookmarkStart w:id="5" w:name="_Toc159673584"/>
      <w:r w:rsidRPr="00AB7354">
        <w:rPr>
          <w:rFonts w:ascii="Century" w:hAnsi="Century"/>
          <w:b/>
          <w:bCs/>
          <w:color w:val="000000" w:themeColor="text1"/>
        </w:rPr>
        <w:t xml:space="preserve"> Circulares</w:t>
      </w:r>
      <w:bookmarkEnd w:id="3"/>
      <w:bookmarkEnd w:id="4"/>
      <w:bookmarkEnd w:id="5"/>
    </w:p>
    <w:p w14:paraId="105E5F11" w14:textId="77777777" w:rsidR="00AB7354" w:rsidRPr="00AB7354" w:rsidRDefault="00AB7354" w:rsidP="00AB7354">
      <w:pPr>
        <w:jc w:val="both"/>
        <w:rPr>
          <w:rFonts w:ascii="Century" w:hAnsi="Century" w:cs="Arial"/>
          <w:sz w:val="24"/>
          <w:szCs w:val="24"/>
        </w:rPr>
      </w:pPr>
      <w:r w:rsidRPr="00AB7354">
        <w:rPr>
          <w:rFonts w:ascii="Century" w:hAnsi="Century" w:cs="Arial"/>
          <w:sz w:val="24"/>
          <w:szCs w:val="24"/>
        </w:rPr>
        <w:t>El Comité de Compras y Contrataciones podrá emitir Circulares de oficio o para dar respuesta a las Consultas planteadas por los Oferentes/Proponentes con relación al contenido del presente Pliego de Condiciones, formularios, otras Circulares o anexos. Las Circulares se harán de conocimiento de todos los Oferentes/Proponentes.</w:t>
      </w:r>
    </w:p>
    <w:p w14:paraId="0F71CD5F" w14:textId="77777777" w:rsidR="00AB7354" w:rsidRPr="00AB7354" w:rsidRDefault="00AB7354" w:rsidP="00AB7354">
      <w:pPr>
        <w:pStyle w:val="Ttulo3"/>
        <w:keepLines w:val="0"/>
        <w:tabs>
          <w:tab w:val="left" w:pos="7920"/>
          <w:tab w:val="left" w:pos="9895"/>
        </w:tabs>
        <w:autoSpaceDE w:val="0"/>
        <w:autoSpaceDN w:val="0"/>
        <w:adjustRightInd w:val="0"/>
        <w:spacing w:before="0" w:line="240" w:lineRule="auto"/>
        <w:ind w:left="785"/>
        <w:rPr>
          <w:rFonts w:ascii="Century" w:hAnsi="Century"/>
          <w:b/>
          <w:bCs/>
          <w:color w:val="000000" w:themeColor="text1"/>
        </w:rPr>
      </w:pPr>
      <w:bookmarkStart w:id="6" w:name="_Toc379797387"/>
      <w:bookmarkStart w:id="7" w:name="_Toc185953158"/>
      <w:bookmarkStart w:id="8" w:name="_Toc159673585"/>
      <w:r w:rsidRPr="00AB7354">
        <w:rPr>
          <w:rFonts w:ascii="Century" w:hAnsi="Century"/>
          <w:b/>
          <w:bCs/>
          <w:color w:val="000000" w:themeColor="text1"/>
        </w:rPr>
        <w:lastRenderedPageBreak/>
        <w:t xml:space="preserve"> Enmiendas</w:t>
      </w:r>
      <w:bookmarkEnd w:id="6"/>
      <w:bookmarkEnd w:id="7"/>
      <w:bookmarkEnd w:id="8"/>
    </w:p>
    <w:p w14:paraId="1BE05FD9" w14:textId="77777777" w:rsidR="00AB7354" w:rsidRPr="00AB7354" w:rsidRDefault="00AB7354" w:rsidP="00AB7354">
      <w:pPr>
        <w:jc w:val="both"/>
        <w:rPr>
          <w:rFonts w:ascii="Century" w:hAnsi="Century" w:cs="Arial"/>
          <w:sz w:val="24"/>
          <w:szCs w:val="24"/>
        </w:rPr>
      </w:pPr>
      <w:r w:rsidRPr="00AB7354">
        <w:rPr>
          <w:rFonts w:ascii="Century" w:hAnsi="Century" w:cs="Arial"/>
          <w:sz w:val="24"/>
          <w:szCs w:val="24"/>
        </w:rPr>
        <w:t>De considerarlo necesario, por iniciativa propia o como consecuencia de una Consulta, el Comité de Compras y Contrataciones podrá modificar, mediante Enmiendas, el Pliego de Condiciones Específicas, formularios, otras Enmiendas o anexos. Las Enmiendas se harán de conocimiento de todos los Oferentes/Proponentes y se publicarán en el portal institucional y en el administrado por el Órgano Rector.</w:t>
      </w:r>
    </w:p>
    <w:p w14:paraId="09C9D35D" w14:textId="77777777" w:rsidR="00AB7354" w:rsidRPr="00AB7354" w:rsidRDefault="00AB7354" w:rsidP="00AB7354">
      <w:pPr>
        <w:jc w:val="both"/>
        <w:rPr>
          <w:rFonts w:ascii="Century" w:hAnsi="Century" w:cs="Arial"/>
          <w:sz w:val="24"/>
          <w:szCs w:val="24"/>
        </w:rPr>
      </w:pPr>
      <w:r w:rsidRPr="00AB7354">
        <w:rPr>
          <w:rFonts w:ascii="Century" w:hAnsi="Century" w:cs="Arial"/>
          <w:sz w:val="24"/>
          <w:szCs w:val="24"/>
        </w:rPr>
        <w:t xml:space="preserve">Tanto las Enmiendas como las Circulares emitidas por el Comité de Compras y Contrataciones pasarán a constituir parte integral del Pliego de Condiciones </w:t>
      </w:r>
      <w:proofErr w:type="gramStart"/>
      <w:r w:rsidRPr="00AB7354">
        <w:rPr>
          <w:rFonts w:ascii="Century" w:hAnsi="Century" w:cs="Arial"/>
          <w:sz w:val="24"/>
          <w:szCs w:val="24"/>
        </w:rPr>
        <w:t>y</w:t>
      </w:r>
      <w:proofErr w:type="gramEnd"/>
      <w:r w:rsidRPr="00AB7354">
        <w:rPr>
          <w:rFonts w:ascii="Century" w:hAnsi="Century" w:cs="Arial"/>
          <w:sz w:val="24"/>
          <w:szCs w:val="24"/>
        </w:rPr>
        <w:t xml:space="preserve"> en consecuencia, serán de cumplimiento obligatorio para todos los Oferentes/Proponentes.</w:t>
      </w:r>
    </w:p>
    <w:p w14:paraId="05BDB7CF" w14:textId="77777777" w:rsidR="00AB7354" w:rsidRPr="00AB7354" w:rsidRDefault="00AB7354" w:rsidP="00AB7354">
      <w:pPr>
        <w:pStyle w:val="Textoindependiente"/>
        <w:rPr>
          <w:rFonts w:ascii="Century" w:hAnsi="Century" w:cs="Arial"/>
        </w:rPr>
      </w:pPr>
    </w:p>
    <w:p w14:paraId="117110A5" w14:textId="39F64FA7" w:rsidR="00AB7354" w:rsidRPr="00AB7354" w:rsidRDefault="00AB7354" w:rsidP="00AB7354">
      <w:pPr>
        <w:keepNext/>
        <w:tabs>
          <w:tab w:val="left" w:pos="7920"/>
          <w:tab w:val="left" w:pos="9895"/>
        </w:tabs>
        <w:autoSpaceDE w:val="0"/>
        <w:autoSpaceDN w:val="0"/>
        <w:adjustRightInd w:val="0"/>
        <w:spacing w:after="0" w:line="240" w:lineRule="auto"/>
        <w:ind w:left="360"/>
        <w:jc w:val="both"/>
        <w:outlineLvl w:val="2"/>
        <w:rPr>
          <w:rFonts w:ascii="Century" w:eastAsia="Times New Roman" w:hAnsi="Century" w:cs="Arial"/>
          <w:b/>
          <w:bCs/>
          <w:sz w:val="24"/>
          <w:szCs w:val="24"/>
          <w:lang w:val="es-ES" w:eastAsia="es-ES"/>
        </w:rPr>
      </w:pPr>
      <w:bookmarkStart w:id="9" w:name="_Toc271530532"/>
      <w:bookmarkStart w:id="10" w:name="_Toc410128616"/>
      <w:r w:rsidRPr="00AB7354">
        <w:rPr>
          <w:rFonts w:ascii="Century" w:eastAsia="Times New Roman" w:hAnsi="Century" w:cs="Arial"/>
          <w:b/>
          <w:bCs/>
          <w:sz w:val="24"/>
          <w:szCs w:val="24"/>
          <w:lang w:val="es-ES" w:eastAsia="es-ES"/>
        </w:rPr>
        <w:t xml:space="preserve">Criterios de </w:t>
      </w:r>
      <w:bookmarkEnd w:id="9"/>
      <w:r w:rsidRPr="00AB7354">
        <w:rPr>
          <w:rFonts w:ascii="Century" w:eastAsia="Times New Roman" w:hAnsi="Century" w:cs="Arial"/>
          <w:b/>
          <w:bCs/>
          <w:sz w:val="24"/>
          <w:szCs w:val="24"/>
          <w:lang w:val="es-ES" w:eastAsia="es-ES"/>
        </w:rPr>
        <w:t>Evaluación</w:t>
      </w:r>
      <w:bookmarkEnd w:id="10"/>
    </w:p>
    <w:p w14:paraId="3998461C" w14:textId="77777777" w:rsidR="00AB7354" w:rsidRPr="00AB7354" w:rsidRDefault="00AB7354" w:rsidP="00AB7354">
      <w:pPr>
        <w:jc w:val="both"/>
        <w:rPr>
          <w:rFonts w:ascii="Century" w:eastAsia="Calibri" w:hAnsi="Century" w:cs="Arial"/>
          <w:sz w:val="24"/>
          <w:szCs w:val="24"/>
        </w:rPr>
      </w:pPr>
      <w:r w:rsidRPr="00AB7354">
        <w:rPr>
          <w:rFonts w:ascii="Century" w:eastAsia="Calibri" w:hAnsi="Century" w:cs="Arial"/>
          <w:sz w:val="24"/>
          <w:szCs w:val="24"/>
        </w:rPr>
        <w:t>Las Propuestas deberán contener la documentación necesaria, suficiente y fehaciente para demostrar los siguientes aspectos que serán verificados bajo la modalidad “CUMPLE/ NO CUMPLE”:</w:t>
      </w:r>
    </w:p>
    <w:p w14:paraId="21C6748B" w14:textId="77777777" w:rsidR="00AB7354" w:rsidRPr="00AB7354" w:rsidRDefault="00AB7354" w:rsidP="00AB7354">
      <w:pPr>
        <w:jc w:val="both"/>
        <w:rPr>
          <w:rFonts w:ascii="Century" w:eastAsia="Calibri" w:hAnsi="Century" w:cs="Arial"/>
          <w:sz w:val="24"/>
          <w:szCs w:val="24"/>
        </w:rPr>
      </w:pPr>
      <w:r w:rsidRPr="00AB7354">
        <w:rPr>
          <w:rFonts w:ascii="Century" w:eastAsia="Calibri" w:hAnsi="Century" w:cs="Arial"/>
          <w:sz w:val="24"/>
          <w:szCs w:val="24"/>
        </w:rPr>
        <w:t>Elegibilidad: Que el Proponente está legalmente autorizado para realizar sus actividades comerciales en el país.</w:t>
      </w:r>
    </w:p>
    <w:p w14:paraId="5571C034" w14:textId="77777777" w:rsidR="00AB7354" w:rsidRPr="00AB7354" w:rsidRDefault="00AB7354" w:rsidP="00AB7354">
      <w:pPr>
        <w:jc w:val="both"/>
        <w:rPr>
          <w:rFonts w:ascii="Century" w:eastAsia="Calibri" w:hAnsi="Century" w:cs="Arial"/>
          <w:sz w:val="24"/>
          <w:szCs w:val="24"/>
        </w:rPr>
      </w:pPr>
      <w:r w:rsidRPr="00AB7354">
        <w:rPr>
          <w:rFonts w:ascii="Century" w:eastAsia="Calibri" w:hAnsi="Century" w:cs="Arial"/>
          <w:sz w:val="24"/>
          <w:szCs w:val="24"/>
        </w:rPr>
        <w:t xml:space="preserve">Capacidad Técnica: Que los Bienes cumplan con las todas características especificadas en las Fichas Técnicas. </w:t>
      </w:r>
    </w:p>
    <w:p w14:paraId="521616DB" w14:textId="7E345D90" w:rsidR="00AB7354" w:rsidRPr="00AB7354" w:rsidRDefault="00AB7354" w:rsidP="00AB7354">
      <w:pPr>
        <w:keepNext/>
        <w:tabs>
          <w:tab w:val="left" w:pos="7920"/>
          <w:tab w:val="left" w:pos="9895"/>
        </w:tabs>
        <w:autoSpaceDE w:val="0"/>
        <w:autoSpaceDN w:val="0"/>
        <w:adjustRightInd w:val="0"/>
        <w:spacing w:after="0" w:line="240" w:lineRule="auto"/>
        <w:ind w:left="360"/>
        <w:jc w:val="both"/>
        <w:outlineLvl w:val="2"/>
        <w:rPr>
          <w:rFonts w:ascii="Century" w:eastAsia="Times New Roman" w:hAnsi="Century" w:cs="Arial"/>
          <w:b/>
          <w:bCs/>
          <w:sz w:val="24"/>
          <w:szCs w:val="24"/>
          <w:lang w:val="es-ES" w:eastAsia="es-ES"/>
        </w:rPr>
      </w:pPr>
      <w:bookmarkStart w:id="11" w:name="_Toc410128617"/>
      <w:bookmarkStart w:id="12" w:name="_Toc271530533"/>
      <w:r w:rsidRPr="00AB7354">
        <w:rPr>
          <w:rFonts w:ascii="Century" w:eastAsia="Times New Roman" w:hAnsi="Century" w:cs="Arial"/>
          <w:b/>
          <w:bCs/>
          <w:sz w:val="24"/>
          <w:szCs w:val="24"/>
          <w:lang w:val="es-ES" w:eastAsia="es-ES"/>
        </w:rPr>
        <w:t>Fase de Homologación</w:t>
      </w:r>
      <w:bookmarkEnd w:id="11"/>
      <w:bookmarkEnd w:id="12"/>
    </w:p>
    <w:p w14:paraId="3477B636" w14:textId="77777777" w:rsidR="00AB7354" w:rsidRPr="00AB7354" w:rsidRDefault="00AB7354" w:rsidP="00AB7354">
      <w:pPr>
        <w:jc w:val="both"/>
        <w:rPr>
          <w:rFonts w:ascii="Century" w:eastAsia="Calibri" w:hAnsi="Century" w:cs="Arial"/>
          <w:color w:val="000000" w:themeColor="text1"/>
          <w:sz w:val="24"/>
          <w:szCs w:val="24"/>
        </w:rPr>
      </w:pPr>
      <w:r w:rsidRPr="00AB7354">
        <w:rPr>
          <w:rFonts w:ascii="Century" w:eastAsia="Calibri" w:hAnsi="Century" w:cs="Arial"/>
          <w:color w:val="000000" w:themeColor="text1"/>
          <w:sz w:val="24"/>
          <w:szCs w:val="24"/>
        </w:rPr>
        <w:t>Una vez concluida la recepción de los “Sobres A”, se procederá a la valoración de las muestras, si aplica, de acuerdo con las especificaciones requeridas en las Fichas Técnicas y a la ponderación de la documentación solicitada al efecto, bajo la modalidad “CUMPLE/ NO CUMPLE”.</w:t>
      </w:r>
    </w:p>
    <w:p w14:paraId="6F96099C" w14:textId="77777777" w:rsidR="00AB7354" w:rsidRPr="00AB7354" w:rsidRDefault="00AB7354" w:rsidP="00AB7354">
      <w:pPr>
        <w:jc w:val="both"/>
        <w:rPr>
          <w:rFonts w:ascii="Century" w:eastAsia="Calibri" w:hAnsi="Century" w:cs="Arial"/>
          <w:sz w:val="24"/>
          <w:szCs w:val="24"/>
        </w:rPr>
      </w:pPr>
      <w:r w:rsidRPr="00AB7354">
        <w:rPr>
          <w:rFonts w:ascii="Century" w:eastAsia="Calibri" w:hAnsi="Century" w:cs="Arial"/>
          <w:sz w:val="24"/>
          <w:szCs w:val="24"/>
        </w:rPr>
        <w:t xml:space="preserve">Para que un Bien pueda ser considerado CONFORME, deberá cumplir con todas y cada una de las características contenidas en las referidas Fichas Técnicas. Es decir que, el no cumplimiento en una de las especificaciones implica la </w:t>
      </w:r>
      <w:r w:rsidRPr="00AB7354">
        <w:rPr>
          <w:rFonts w:ascii="Century" w:eastAsia="Calibri" w:hAnsi="Century" w:cs="Arial"/>
          <w:sz w:val="24"/>
          <w:szCs w:val="24"/>
        </w:rPr>
        <w:lastRenderedPageBreak/>
        <w:t>descalificación de la Oferta y la declaración de NO CONFORME del Bien ofertado.</w:t>
      </w:r>
    </w:p>
    <w:p w14:paraId="69FB9743" w14:textId="77777777" w:rsidR="00AB7354" w:rsidRPr="00AB7354" w:rsidRDefault="00AB7354" w:rsidP="00AB7354">
      <w:pPr>
        <w:jc w:val="both"/>
        <w:rPr>
          <w:rFonts w:ascii="Century" w:eastAsia="Calibri" w:hAnsi="Century" w:cs="Arial"/>
          <w:sz w:val="24"/>
          <w:szCs w:val="24"/>
        </w:rPr>
      </w:pPr>
      <w:r w:rsidRPr="00AB7354">
        <w:rPr>
          <w:rFonts w:ascii="Century" w:eastAsia="Calibri" w:hAnsi="Century" w:cs="Arial"/>
          <w:sz w:val="24"/>
          <w:szCs w:val="24"/>
        </w:rPr>
        <w:t xml:space="preserve">Los Peritos levantarán un informe donde se indicará el cumplimiento o no de las Especificaciones Técnicas de cada uno de los Bienes ofertados, bajo el criterio de CONFORME/ NO CONFORME. En el caso de no cumplimiento indicará, de forma individualizada las razones.  </w:t>
      </w:r>
    </w:p>
    <w:p w14:paraId="73E6CD43" w14:textId="77777777" w:rsidR="00AB7354" w:rsidRPr="00AB7354" w:rsidRDefault="00AB7354" w:rsidP="00AB7354">
      <w:pPr>
        <w:jc w:val="both"/>
        <w:rPr>
          <w:rFonts w:ascii="Century" w:eastAsia="Calibri" w:hAnsi="Century" w:cs="Arial"/>
          <w:sz w:val="24"/>
          <w:szCs w:val="24"/>
        </w:rPr>
      </w:pPr>
      <w:r w:rsidRPr="00AB7354">
        <w:rPr>
          <w:rFonts w:ascii="Century" w:eastAsia="Calibri" w:hAnsi="Century" w:cs="Arial"/>
          <w:sz w:val="24"/>
          <w:szCs w:val="24"/>
        </w:rPr>
        <w:t>Los Peritos emitirán su informe al Comité de Compras y Contrataciones sobre los resultados de la evaluación de las Propuestas Técnicas “Sobre A”, a los fines de la recomendación final.</w:t>
      </w:r>
    </w:p>
    <w:p w14:paraId="785D8111" w14:textId="77777777" w:rsidR="00AB7354" w:rsidRPr="00AB7354" w:rsidRDefault="00AB7354" w:rsidP="00AB7354">
      <w:pPr>
        <w:jc w:val="both"/>
        <w:rPr>
          <w:rFonts w:ascii="Century" w:eastAsia="Calibri" w:hAnsi="Century" w:cs="Arial"/>
          <w:sz w:val="24"/>
          <w:szCs w:val="24"/>
        </w:rPr>
      </w:pPr>
      <w:r w:rsidRPr="00AB7354">
        <w:rPr>
          <w:rFonts w:ascii="Century" w:eastAsia="Calibri" w:hAnsi="Century" w:cs="Arial"/>
          <w:sz w:val="24"/>
          <w:szCs w:val="24"/>
        </w:rPr>
        <w:t>El Comité de Compras y Contrataciones evaluará y comparará únicamente las Ofertas que se ajustan sustancialmente al presente Pliego de Condiciones Específicas y que hayan sido evaluadas técnicamente como CONFORME, bajo el criterio del menor precio ofertado.</w:t>
      </w:r>
    </w:p>
    <w:p w14:paraId="06058D70" w14:textId="395A9AB3" w:rsidR="00AB7354" w:rsidRPr="00AB7354" w:rsidRDefault="00AB7354" w:rsidP="00AB7354">
      <w:pPr>
        <w:keepNext/>
        <w:tabs>
          <w:tab w:val="left" w:pos="7920"/>
          <w:tab w:val="left" w:pos="9895"/>
        </w:tabs>
        <w:autoSpaceDE w:val="0"/>
        <w:autoSpaceDN w:val="0"/>
        <w:adjustRightInd w:val="0"/>
        <w:spacing w:after="0" w:line="240" w:lineRule="auto"/>
        <w:ind w:left="360"/>
        <w:jc w:val="both"/>
        <w:outlineLvl w:val="2"/>
        <w:rPr>
          <w:rFonts w:ascii="Century" w:eastAsia="Times New Roman" w:hAnsi="Century" w:cs="Arial"/>
          <w:b/>
          <w:bCs/>
          <w:sz w:val="24"/>
          <w:szCs w:val="24"/>
          <w:lang w:val="es-ES" w:eastAsia="es-ES"/>
        </w:rPr>
      </w:pPr>
      <w:bookmarkStart w:id="13" w:name="_Toc410128624"/>
      <w:r w:rsidRPr="00AB7354">
        <w:rPr>
          <w:rFonts w:ascii="Century" w:eastAsia="Times New Roman" w:hAnsi="Century" w:cs="Arial"/>
          <w:b/>
          <w:bCs/>
          <w:sz w:val="24"/>
          <w:szCs w:val="24"/>
          <w:lang w:val="es-ES" w:eastAsia="es-ES"/>
        </w:rPr>
        <w:t>Criterios de Adjudicación</w:t>
      </w:r>
      <w:bookmarkEnd w:id="13"/>
    </w:p>
    <w:p w14:paraId="1E0FC247" w14:textId="77777777" w:rsidR="00AB7354" w:rsidRPr="00AB7354" w:rsidRDefault="00AB7354" w:rsidP="00AB7354">
      <w:pPr>
        <w:jc w:val="both"/>
        <w:rPr>
          <w:rFonts w:ascii="Century" w:eastAsia="Calibri" w:hAnsi="Century" w:cs="Arial"/>
          <w:sz w:val="24"/>
          <w:szCs w:val="24"/>
        </w:rPr>
      </w:pPr>
      <w:r w:rsidRPr="00AB7354">
        <w:rPr>
          <w:rFonts w:ascii="Century" w:eastAsia="Calibri" w:hAnsi="Century" w:cs="Arial"/>
          <w:sz w:val="24"/>
          <w:szCs w:val="24"/>
        </w:rPr>
        <w:t xml:space="preserve">El Comité de Compras y Contrataciones evaluará las Ofertas dando cumplimiento a los principios de transparencia, objetividad, economía, celeridad y demás, que regulan la actividad contractual, y comunicará por escrito al Oferente/Proponente que resulte favorecido. Al efecto, se tendrán en cuenta los factores económicos y técnicos más favorables. </w:t>
      </w:r>
    </w:p>
    <w:p w14:paraId="5D9CE74C" w14:textId="77777777" w:rsidR="00AB7354" w:rsidRPr="00AB7354" w:rsidRDefault="00AB7354" w:rsidP="00AB7354">
      <w:pPr>
        <w:jc w:val="both"/>
        <w:rPr>
          <w:rFonts w:ascii="Century" w:eastAsia="Calibri" w:hAnsi="Century" w:cs="Arial"/>
          <w:sz w:val="24"/>
          <w:szCs w:val="24"/>
        </w:rPr>
      </w:pPr>
      <w:r w:rsidRPr="00AB7354">
        <w:rPr>
          <w:rFonts w:ascii="Century" w:eastAsia="Calibri" w:hAnsi="Century" w:cs="Arial"/>
          <w:sz w:val="24"/>
          <w:szCs w:val="24"/>
        </w:rPr>
        <w:t>La Adjudicación será decidida a favor del Oferente/Proponente cuya propuesta cumpla con los requisitos exigidos y sea calificada como la más conveniente para los intereses institucionales, teniendo en cuenta el precio, la calidad, y las demás condiciones que se establecen en el presente Pliego de Condiciones Específicas.</w:t>
      </w:r>
    </w:p>
    <w:p w14:paraId="67622FB7" w14:textId="77777777" w:rsidR="00AB7354" w:rsidRPr="00AB7354" w:rsidRDefault="00AB7354" w:rsidP="00AB7354">
      <w:pPr>
        <w:jc w:val="both"/>
        <w:rPr>
          <w:rFonts w:ascii="Century" w:eastAsia="Calibri" w:hAnsi="Century" w:cs="Arial"/>
          <w:sz w:val="24"/>
          <w:szCs w:val="24"/>
        </w:rPr>
      </w:pPr>
      <w:r w:rsidRPr="00AB7354">
        <w:rPr>
          <w:rFonts w:ascii="Century" w:eastAsia="Calibri" w:hAnsi="Century" w:cs="Arial"/>
          <w:sz w:val="24"/>
          <w:szCs w:val="24"/>
        </w:rPr>
        <w:t>Si se presentase una sola Oferta, ella deberá ser considerada y se procederá a la Adjudicación, si habiendo cumplido con lo exigido en el Pliego de Condiciones Específicas, se le considera conveniente a los intereses de la Institución.</w:t>
      </w:r>
    </w:p>
    <w:p w14:paraId="3CCD68E8" w14:textId="77777777" w:rsidR="00AB7354" w:rsidRPr="00AB7354" w:rsidRDefault="00AB7354" w:rsidP="00AB7354">
      <w:pPr>
        <w:pStyle w:val="Textoindependiente"/>
        <w:rPr>
          <w:rFonts w:ascii="Century" w:hAnsi="Century" w:cs="Arial"/>
        </w:rPr>
      </w:pPr>
    </w:p>
    <w:p w14:paraId="2F3E5590" w14:textId="77777777" w:rsidR="00AB7354" w:rsidRPr="00AB7354" w:rsidRDefault="00AB7354" w:rsidP="00AB7354">
      <w:pPr>
        <w:pStyle w:val="Textoindependiente"/>
        <w:rPr>
          <w:rFonts w:ascii="Century" w:hAnsi="Century" w:cs="Arial"/>
          <w:b/>
        </w:rPr>
      </w:pPr>
      <w:r w:rsidRPr="00AB7354">
        <w:rPr>
          <w:rFonts w:ascii="Century" w:hAnsi="Century" w:cs="Arial"/>
          <w:b/>
        </w:rPr>
        <w:lastRenderedPageBreak/>
        <w:t>No se considerarán válidas las Ofertas Técnicas de aquellos productos de los que no se hayan recibido las muestras correspondientes.</w:t>
      </w:r>
    </w:p>
    <w:p w14:paraId="05654185" w14:textId="77777777" w:rsidR="00AB7354" w:rsidRPr="00AB7354" w:rsidRDefault="00AB7354" w:rsidP="00AB7354">
      <w:pPr>
        <w:pStyle w:val="Textoindependiente"/>
        <w:rPr>
          <w:rFonts w:ascii="Century" w:hAnsi="Century" w:cs="Arial"/>
          <w:b/>
        </w:rPr>
      </w:pPr>
    </w:p>
    <w:p w14:paraId="188F3461" w14:textId="77777777" w:rsidR="00AB7354" w:rsidRPr="00AB7354" w:rsidRDefault="00AB7354" w:rsidP="00AB7354">
      <w:pPr>
        <w:pStyle w:val="Textoindependiente"/>
        <w:rPr>
          <w:rFonts w:ascii="Century" w:hAnsi="Century" w:cs="Arial"/>
          <w:b/>
          <w:bCs/>
        </w:rPr>
      </w:pPr>
      <w:r w:rsidRPr="00AB7354">
        <w:rPr>
          <w:rFonts w:ascii="Century" w:hAnsi="Century" w:cs="Arial"/>
          <w:b/>
          <w:bCs/>
        </w:rPr>
        <w:t>Deberán presentar el Formulario de Entrega de Muestras.</w:t>
      </w:r>
    </w:p>
    <w:p w14:paraId="63C3E513" w14:textId="77777777" w:rsidR="00941FEB" w:rsidRPr="00AB7354" w:rsidRDefault="00941FEB" w:rsidP="00AB7354">
      <w:pPr>
        <w:spacing w:after="0" w:line="240" w:lineRule="auto"/>
        <w:ind w:left="720"/>
        <w:jc w:val="both"/>
        <w:rPr>
          <w:rFonts w:ascii="Century" w:hAnsi="Century"/>
          <w:sz w:val="24"/>
          <w:szCs w:val="24"/>
          <w:lang w:val="es-ES" w:eastAsia="es-ES"/>
        </w:rPr>
      </w:pPr>
    </w:p>
    <w:p w14:paraId="6D3805AE" w14:textId="77777777" w:rsidR="00941FEB" w:rsidRPr="00AB7354" w:rsidRDefault="00941FEB" w:rsidP="00A237EE">
      <w:pPr>
        <w:spacing w:after="0" w:line="240" w:lineRule="auto"/>
        <w:ind w:left="720"/>
        <w:jc w:val="both"/>
        <w:rPr>
          <w:rFonts w:ascii="Century" w:eastAsia="Times New Roman" w:hAnsi="Century" w:cs="Tahoma"/>
          <w:b/>
          <w:sz w:val="24"/>
          <w:szCs w:val="24"/>
          <w:lang w:val="es-ES" w:eastAsia="es-ES"/>
        </w:rPr>
      </w:pPr>
    </w:p>
    <w:p w14:paraId="648A52E6" w14:textId="77777777" w:rsidR="00941FEB" w:rsidRPr="00AB7354" w:rsidRDefault="00941FEB" w:rsidP="00B24A80">
      <w:pPr>
        <w:spacing w:after="0" w:line="240" w:lineRule="auto"/>
        <w:jc w:val="both"/>
        <w:rPr>
          <w:rFonts w:ascii="Century" w:eastAsia="Times New Roman" w:hAnsi="Century" w:cs="Tahoma"/>
          <w:b/>
          <w:sz w:val="24"/>
          <w:szCs w:val="24"/>
          <w:lang w:val="es-ES" w:eastAsia="es-ES"/>
        </w:rPr>
      </w:pPr>
    </w:p>
    <w:p w14:paraId="299B2D4E" w14:textId="77777777" w:rsidR="00941FEB" w:rsidRPr="00AB7354" w:rsidRDefault="00A237EE" w:rsidP="00941FEB">
      <w:pPr>
        <w:spacing w:after="0" w:line="240" w:lineRule="auto"/>
        <w:jc w:val="both"/>
        <w:rPr>
          <w:rFonts w:ascii="Century" w:eastAsia="Times New Roman" w:hAnsi="Century" w:cs="Tahoma"/>
          <w:b/>
          <w:sz w:val="24"/>
          <w:szCs w:val="24"/>
          <w:lang w:val="es-ES" w:eastAsia="es-ES"/>
        </w:rPr>
      </w:pPr>
      <w:r w:rsidRPr="00AB7354">
        <w:rPr>
          <w:rFonts w:ascii="Century" w:eastAsia="Times New Roman" w:hAnsi="Century" w:cs="Tahoma"/>
          <w:b/>
          <w:sz w:val="24"/>
          <w:szCs w:val="24"/>
          <w:lang w:val="es-ES" w:eastAsia="es-ES"/>
        </w:rPr>
        <w:t xml:space="preserve">      </w:t>
      </w:r>
      <w:r w:rsidR="00B24A80" w:rsidRPr="00AB7354">
        <w:rPr>
          <w:rFonts w:ascii="Century" w:eastAsia="Times New Roman" w:hAnsi="Century" w:cs="Tahoma"/>
          <w:b/>
          <w:sz w:val="24"/>
          <w:szCs w:val="24"/>
          <w:lang w:val="es-ES" w:eastAsia="es-ES"/>
        </w:rPr>
        <w:t xml:space="preserve"> </w:t>
      </w:r>
      <w:r w:rsidR="00941FEB" w:rsidRPr="00AB7354">
        <w:rPr>
          <w:rFonts w:ascii="Century" w:eastAsia="Times New Roman" w:hAnsi="Century" w:cs="Tahoma"/>
          <w:b/>
          <w:sz w:val="24"/>
          <w:szCs w:val="24"/>
          <w:lang w:val="es-ES" w:eastAsia="es-ES"/>
        </w:rPr>
        <w:t xml:space="preserve">  </w:t>
      </w:r>
      <w:r w:rsidR="00941FEB" w:rsidRPr="00AB7354">
        <w:rPr>
          <w:rFonts w:ascii="Century" w:eastAsia="Times New Roman" w:hAnsi="Century" w:cs="Tahoma"/>
          <w:b/>
          <w:sz w:val="24"/>
          <w:szCs w:val="24"/>
          <w:lang w:val="es-ES" w:eastAsia="es-ES"/>
        </w:rPr>
        <w:tab/>
      </w:r>
      <w:r w:rsidR="00941FEB" w:rsidRPr="00AB7354">
        <w:rPr>
          <w:rFonts w:ascii="Century" w:eastAsia="Times New Roman" w:hAnsi="Century" w:cs="Tahoma"/>
          <w:b/>
          <w:sz w:val="24"/>
          <w:szCs w:val="24"/>
          <w:lang w:val="es-ES" w:eastAsia="es-ES"/>
        </w:rPr>
        <w:tab/>
      </w:r>
      <w:r w:rsidR="00B24A80" w:rsidRPr="00AB7354">
        <w:rPr>
          <w:rFonts w:ascii="Century" w:eastAsia="Times New Roman" w:hAnsi="Century" w:cs="Tahoma"/>
          <w:b/>
          <w:sz w:val="24"/>
          <w:szCs w:val="24"/>
          <w:lang w:val="es-ES" w:eastAsia="es-ES"/>
        </w:rPr>
        <w:t xml:space="preserve">Nota aclaratoria </w:t>
      </w:r>
    </w:p>
    <w:p w14:paraId="4125C474" w14:textId="77777777" w:rsidR="00C22878" w:rsidRPr="00AB7354" w:rsidRDefault="00C22878" w:rsidP="00B24A80">
      <w:pPr>
        <w:spacing w:after="0" w:line="240" w:lineRule="auto"/>
        <w:jc w:val="both"/>
        <w:rPr>
          <w:rFonts w:ascii="Century" w:eastAsia="Times New Roman" w:hAnsi="Century" w:cs="Tahoma"/>
          <w:bCs/>
          <w:sz w:val="24"/>
          <w:szCs w:val="24"/>
          <w:lang w:val="es-ES" w:eastAsia="es-ES"/>
        </w:rPr>
      </w:pPr>
    </w:p>
    <w:p w14:paraId="60EE7C0B" w14:textId="77777777" w:rsidR="00A237EE" w:rsidRPr="00AB7354" w:rsidRDefault="00C22878" w:rsidP="00A237EE">
      <w:pPr>
        <w:pStyle w:val="Prrafodelista"/>
        <w:numPr>
          <w:ilvl w:val="0"/>
          <w:numId w:val="3"/>
        </w:numPr>
        <w:spacing w:after="0" w:line="240" w:lineRule="auto"/>
        <w:jc w:val="both"/>
        <w:rPr>
          <w:rFonts w:ascii="Century" w:eastAsia="Times New Roman" w:hAnsi="Century" w:cs="Tahoma"/>
          <w:bCs/>
          <w:sz w:val="24"/>
          <w:szCs w:val="24"/>
          <w:lang w:val="es-ES" w:eastAsia="es-ES"/>
        </w:rPr>
      </w:pPr>
      <w:r w:rsidRPr="00AB7354">
        <w:rPr>
          <w:rFonts w:ascii="Century" w:eastAsia="Times New Roman" w:hAnsi="Century" w:cs="Tahoma"/>
          <w:bCs/>
          <w:sz w:val="24"/>
          <w:szCs w:val="24"/>
          <w:lang w:val="es-ES" w:eastAsia="es-ES"/>
        </w:rPr>
        <w:t>Los productos ofertados deben ser de calidad y marcas reconocidas.</w:t>
      </w:r>
    </w:p>
    <w:p w14:paraId="38198D09" w14:textId="77777777" w:rsidR="00C22878" w:rsidRPr="00AB7354" w:rsidRDefault="00C22878" w:rsidP="00A237EE">
      <w:pPr>
        <w:pStyle w:val="Prrafodelista"/>
        <w:numPr>
          <w:ilvl w:val="0"/>
          <w:numId w:val="3"/>
        </w:numPr>
        <w:spacing w:after="0" w:line="240" w:lineRule="auto"/>
        <w:jc w:val="both"/>
        <w:rPr>
          <w:rFonts w:ascii="Century" w:eastAsia="Times New Roman" w:hAnsi="Century" w:cs="Tahoma"/>
          <w:bCs/>
          <w:sz w:val="24"/>
          <w:szCs w:val="24"/>
          <w:lang w:val="es-ES" w:eastAsia="es-ES"/>
        </w:rPr>
      </w:pPr>
      <w:r w:rsidRPr="00AB7354">
        <w:rPr>
          <w:rFonts w:ascii="Century" w:eastAsia="Times New Roman" w:hAnsi="Century" w:cs="Tahoma"/>
          <w:bCs/>
          <w:sz w:val="24"/>
          <w:szCs w:val="24"/>
          <w:lang w:val="es-ES" w:eastAsia="es-ES"/>
        </w:rPr>
        <w:t xml:space="preserve">Productos frescos con un mínimo de vencimiento de 3 meses para los que apliquen. </w:t>
      </w:r>
    </w:p>
    <w:p w14:paraId="47446058" w14:textId="77777777" w:rsidR="00C22878" w:rsidRPr="00AB7354" w:rsidRDefault="00C22878" w:rsidP="00C22878">
      <w:pPr>
        <w:pStyle w:val="Prrafodelista"/>
        <w:numPr>
          <w:ilvl w:val="0"/>
          <w:numId w:val="3"/>
        </w:numPr>
        <w:spacing w:after="0" w:line="240" w:lineRule="auto"/>
        <w:jc w:val="both"/>
        <w:rPr>
          <w:rFonts w:ascii="Century" w:eastAsia="Times New Roman" w:hAnsi="Century" w:cs="Tahoma"/>
          <w:bCs/>
          <w:sz w:val="24"/>
          <w:szCs w:val="24"/>
          <w:lang w:val="es-ES" w:eastAsia="es-ES"/>
        </w:rPr>
      </w:pPr>
      <w:r w:rsidRPr="00AB7354">
        <w:rPr>
          <w:rFonts w:ascii="Century" w:eastAsia="Times New Roman" w:hAnsi="Century" w:cs="Tahoma"/>
          <w:bCs/>
          <w:sz w:val="24"/>
          <w:szCs w:val="24"/>
          <w:lang w:val="es-ES" w:eastAsia="es-ES"/>
        </w:rPr>
        <w:t>El requerimiento de las muestras es con el fin de evaluar la calidad de los productos ofertados por los participantes, al momento de despachar, lo solicitado debe coincidir con las muestras entregadas.</w:t>
      </w:r>
    </w:p>
    <w:p w14:paraId="62132A06" w14:textId="115A1DAB" w:rsidR="00B24A80" w:rsidRPr="00105189" w:rsidRDefault="00B24A80" w:rsidP="001B16FA">
      <w:pPr>
        <w:pStyle w:val="Prrafodelista"/>
        <w:numPr>
          <w:ilvl w:val="0"/>
          <w:numId w:val="2"/>
        </w:numPr>
        <w:spacing w:after="0" w:line="240" w:lineRule="auto"/>
        <w:jc w:val="both"/>
        <w:rPr>
          <w:rFonts w:ascii="Century" w:eastAsia="Times New Roman" w:hAnsi="Century" w:cs="Tahoma"/>
          <w:bCs/>
          <w:sz w:val="24"/>
          <w:szCs w:val="24"/>
          <w:lang w:val="es-ES" w:eastAsia="es-ES"/>
        </w:rPr>
      </w:pPr>
      <w:r w:rsidRPr="00105189">
        <w:rPr>
          <w:rFonts w:ascii="Century" w:eastAsia="Times New Roman" w:hAnsi="Century" w:cs="Tahoma"/>
          <w:bCs/>
          <w:sz w:val="24"/>
          <w:szCs w:val="24"/>
          <w:lang w:val="es-ES" w:eastAsia="es-ES"/>
        </w:rPr>
        <w:t>Las entregas serán fraccionadas,</w:t>
      </w:r>
      <w:r w:rsidR="00105189" w:rsidRPr="00105189">
        <w:rPr>
          <w:rFonts w:ascii="Century" w:eastAsia="Times New Roman" w:hAnsi="Century" w:cs="Tahoma"/>
          <w:bCs/>
          <w:sz w:val="24"/>
          <w:szCs w:val="24"/>
          <w:lang w:val="es-ES" w:eastAsia="es-ES"/>
        </w:rPr>
        <w:t xml:space="preserve"> en dos partidas la primera con la orden y la segunda a solicitud del encargado del área, indicando las cantidades requeridas, hasta agotar las cantidades. </w:t>
      </w:r>
      <w:r w:rsidR="00105189">
        <w:rPr>
          <w:rFonts w:ascii="Century" w:eastAsia="Times New Roman" w:hAnsi="Century" w:cs="Tahoma"/>
          <w:bCs/>
          <w:sz w:val="24"/>
          <w:szCs w:val="24"/>
          <w:lang w:val="es-ES" w:eastAsia="es-ES"/>
        </w:rPr>
        <w:t xml:space="preserve"> </w:t>
      </w:r>
      <w:r w:rsidRPr="00105189">
        <w:rPr>
          <w:rFonts w:ascii="Century" w:eastAsia="Times New Roman" w:hAnsi="Century" w:cs="Tahoma"/>
          <w:bCs/>
          <w:sz w:val="24"/>
          <w:szCs w:val="24"/>
          <w:lang w:val="es-ES" w:eastAsia="es-ES"/>
        </w:rPr>
        <w:t xml:space="preserve"> </w:t>
      </w:r>
    </w:p>
    <w:p w14:paraId="14400851" w14:textId="77777777" w:rsidR="00941FEB" w:rsidRPr="00AB7354" w:rsidRDefault="00941FEB" w:rsidP="00A237EE">
      <w:pPr>
        <w:pStyle w:val="Prrafodelista"/>
        <w:numPr>
          <w:ilvl w:val="0"/>
          <w:numId w:val="2"/>
        </w:numPr>
        <w:spacing w:after="0" w:line="240" w:lineRule="auto"/>
        <w:jc w:val="both"/>
        <w:rPr>
          <w:rFonts w:ascii="Century" w:eastAsia="Times New Roman" w:hAnsi="Century" w:cs="Tahoma"/>
          <w:bCs/>
          <w:sz w:val="24"/>
          <w:szCs w:val="24"/>
          <w:lang w:val="es-ES" w:eastAsia="es-ES"/>
        </w:rPr>
      </w:pPr>
      <w:r w:rsidRPr="00AB7354">
        <w:rPr>
          <w:rFonts w:ascii="Century" w:eastAsia="Times New Roman" w:hAnsi="Century" w:cs="Tahoma"/>
          <w:bCs/>
          <w:sz w:val="24"/>
          <w:szCs w:val="24"/>
          <w:lang w:val="es-ES" w:eastAsia="es-ES"/>
        </w:rPr>
        <w:t xml:space="preserve">La adjudicación será por lote, el detalle de los artículos o productos solicitados se encuentran </w:t>
      </w:r>
      <w:r w:rsidR="00E10895" w:rsidRPr="00AB7354">
        <w:rPr>
          <w:rFonts w:ascii="Century" w:eastAsia="Times New Roman" w:hAnsi="Century" w:cs="Tahoma"/>
          <w:bCs/>
          <w:sz w:val="24"/>
          <w:szCs w:val="24"/>
          <w:lang w:val="es-ES" w:eastAsia="es-ES"/>
        </w:rPr>
        <w:t xml:space="preserve">en el </w:t>
      </w:r>
      <w:r w:rsidRPr="00AB7354">
        <w:rPr>
          <w:rFonts w:ascii="Century" w:eastAsia="Times New Roman" w:hAnsi="Century" w:cs="Tahoma"/>
          <w:bCs/>
          <w:sz w:val="24"/>
          <w:szCs w:val="24"/>
          <w:lang w:val="es-ES" w:eastAsia="es-ES"/>
        </w:rPr>
        <w:t>anexo.</w:t>
      </w:r>
    </w:p>
    <w:p w14:paraId="778BC09F" w14:textId="77777777" w:rsidR="00876FED" w:rsidRPr="00AB7354" w:rsidRDefault="00876FED" w:rsidP="00876FED">
      <w:pPr>
        <w:spacing w:after="0" w:line="240" w:lineRule="auto"/>
        <w:jc w:val="both"/>
        <w:rPr>
          <w:rFonts w:ascii="Century" w:eastAsia="Times New Roman" w:hAnsi="Century" w:cs="Tahoma"/>
          <w:bCs/>
          <w:sz w:val="24"/>
          <w:szCs w:val="24"/>
          <w:lang w:val="es-ES" w:eastAsia="es-ES"/>
        </w:rPr>
      </w:pPr>
    </w:p>
    <w:p w14:paraId="4769929D" w14:textId="77777777" w:rsidR="00876FED" w:rsidRPr="00AB7354" w:rsidRDefault="00876FED" w:rsidP="00876FED">
      <w:pPr>
        <w:spacing w:after="0" w:line="240" w:lineRule="auto"/>
        <w:jc w:val="both"/>
        <w:rPr>
          <w:rFonts w:ascii="Century" w:eastAsia="Times New Roman" w:hAnsi="Century" w:cs="Tahoma"/>
          <w:bCs/>
          <w:sz w:val="24"/>
          <w:szCs w:val="24"/>
          <w:lang w:val="es-ES" w:eastAsia="es-ES"/>
        </w:rPr>
      </w:pPr>
    </w:p>
    <w:p w14:paraId="382A7ECE" w14:textId="77777777" w:rsidR="00876FED" w:rsidRPr="00AB7354" w:rsidRDefault="00941FEB" w:rsidP="00876FED">
      <w:pPr>
        <w:spacing w:after="0" w:line="240" w:lineRule="auto"/>
        <w:jc w:val="both"/>
        <w:rPr>
          <w:rFonts w:ascii="Century" w:eastAsia="Times New Roman" w:hAnsi="Century" w:cs="Tahoma"/>
          <w:b/>
          <w:sz w:val="24"/>
          <w:szCs w:val="24"/>
          <w:lang w:val="es-ES" w:eastAsia="es-ES"/>
        </w:rPr>
      </w:pPr>
      <w:r w:rsidRPr="00AB7354">
        <w:rPr>
          <w:rFonts w:ascii="Century" w:eastAsia="Times New Roman" w:hAnsi="Century" w:cs="Tahoma"/>
          <w:b/>
          <w:sz w:val="24"/>
          <w:szCs w:val="24"/>
          <w:lang w:val="es-ES" w:eastAsia="es-ES"/>
        </w:rPr>
        <w:t xml:space="preserve">ANEXO </w:t>
      </w:r>
      <w:r w:rsidR="00876FED" w:rsidRPr="00AB7354">
        <w:rPr>
          <w:rFonts w:ascii="Century" w:eastAsia="Times New Roman" w:hAnsi="Century" w:cs="Tahoma"/>
          <w:b/>
          <w:sz w:val="24"/>
          <w:szCs w:val="24"/>
          <w:lang w:val="es-ES" w:eastAsia="es-ES"/>
        </w:rPr>
        <w:t xml:space="preserve">LISTADO DE PRODUCTOS SOLICITADOS </w:t>
      </w:r>
    </w:p>
    <w:p w14:paraId="514F82A5" w14:textId="77777777" w:rsidR="00644153" w:rsidRPr="00AB7354" w:rsidRDefault="00644153" w:rsidP="00AA4536">
      <w:pPr>
        <w:spacing w:after="0" w:line="240" w:lineRule="auto"/>
        <w:jc w:val="both"/>
        <w:rPr>
          <w:rFonts w:ascii="Century" w:eastAsia="Times New Roman" w:hAnsi="Century" w:cs="Tahoma"/>
          <w:bCs/>
          <w:sz w:val="24"/>
          <w:szCs w:val="24"/>
          <w:lang w:val="es-ES" w:eastAsia="es-ES"/>
        </w:rPr>
      </w:pPr>
      <w:bookmarkStart w:id="14" w:name="_GoBack"/>
      <w:bookmarkEnd w:id="14"/>
    </w:p>
    <w:sectPr w:rsidR="00644153" w:rsidRPr="00AB7354" w:rsidSect="00C504AA">
      <w:headerReference w:type="default" r:id="rId9"/>
      <w:footerReference w:type="default" r:id="rId10"/>
      <w:pgSz w:w="12240" w:h="15840" w:code="1"/>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49F4FC" w14:textId="77777777" w:rsidR="00905A97" w:rsidRDefault="00905A97" w:rsidP="00E839EC">
      <w:pPr>
        <w:spacing w:after="0" w:line="240" w:lineRule="auto"/>
      </w:pPr>
      <w:r>
        <w:separator/>
      </w:r>
    </w:p>
  </w:endnote>
  <w:endnote w:type="continuationSeparator" w:id="0">
    <w:p w14:paraId="308D7043" w14:textId="77777777" w:rsidR="00905A97" w:rsidRDefault="00905A97" w:rsidP="00E839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10022FF" w:usb1="C000E47F" w:usb2="00000029" w:usb3="00000000" w:csb0="000001DF" w:csb1="00000000"/>
  </w:font>
  <w:font w:name="Century">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75C0A7" w14:textId="77777777" w:rsidR="00E839EC" w:rsidRDefault="007A52EF" w:rsidP="00E839EC">
    <w:pPr>
      <w:pStyle w:val="Piedepgina"/>
      <w:rPr>
        <w:noProof/>
        <w:color w:val="006666"/>
      </w:rPr>
    </w:pPr>
    <w:r>
      <w:rPr>
        <w:noProof/>
        <w:color w:val="006666"/>
      </w:rPr>
      <mc:AlternateContent>
        <mc:Choice Requires="wps">
          <w:drawing>
            <wp:anchor distT="0" distB="0" distL="114300" distR="114300" simplePos="0" relativeHeight="251663360" behindDoc="0" locked="0" layoutInCell="1" allowOverlap="1" wp14:anchorId="323172C3" wp14:editId="2E0C5E42">
              <wp:simplePos x="0" y="0"/>
              <wp:positionH relativeFrom="column">
                <wp:posOffset>-914400</wp:posOffset>
              </wp:positionH>
              <wp:positionV relativeFrom="paragraph">
                <wp:posOffset>107950</wp:posOffset>
              </wp:positionV>
              <wp:extent cx="7792720" cy="13335"/>
              <wp:effectExtent l="57150" t="76200" r="36830" b="81915"/>
              <wp:wrapNone/>
              <wp:docPr id="3" name="3 Conector recto"/>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7792720" cy="13335"/>
                      </a:xfrm>
                      <a:prstGeom prst="line">
                        <a:avLst/>
                      </a:prstGeom>
                      <a:noFill/>
                      <a:ln w="76200" cap="flat" cmpd="sng" algn="ctr">
                        <a:solidFill>
                          <a:srgbClr val="006666"/>
                        </a:solidFill>
                        <a:prstDash val="solid"/>
                      </a:ln>
                      <a:effectLst>
                        <a:outerShdw blurRad="40000" dist="20000" dir="5400000" rotWithShape="0">
                          <a:srgbClr val="000000">
                            <a:alpha val="38000"/>
                          </a:srgbClr>
                        </a:outerShdw>
                      </a:effectLst>
                    </wps:spPr>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w:pict>
            <v:line w14:anchorId="7C5A5734" id="3 Conector recto" o:spid="_x0000_s1026" style="position:absolute;flip:y;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in,8.5pt" to="541.6pt,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" strokecolor="#066" strokeweight="6pt">
              <v:shadow on="t" color="black" opacity="24903f" origin=",.5" offset="0,.55556mm"/>
              <o:lock v:ext="edit" shapetype="f"/>
            </v:line>
          </w:pict>
        </mc:Fallback>
      </mc:AlternateContent>
    </w:r>
  </w:p>
  <w:p w14:paraId="276C7533" w14:textId="77777777" w:rsidR="00E839EC" w:rsidRDefault="007A52EF" w:rsidP="00E839EC">
    <w:pPr>
      <w:pStyle w:val="Piedepgina"/>
      <w:jc w:val="center"/>
      <w:rPr>
        <w:noProof/>
        <w:color w:val="006666"/>
      </w:rPr>
    </w:pPr>
    <w:r>
      <w:rPr>
        <w:noProof/>
        <w:color w:val="006666"/>
      </w:rPr>
      <mc:AlternateContent>
        <mc:Choice Requires="wps">
          <w:drawing>
            <wp:anchor distT="0" distB="0" distL="114300" distR="114300" simplePos="0" relativeHeight="251662336" behindDoc="0" locked="0" layoutInCell="1" allowOverlap="1" wp14:anchorId="2B88E564" wp14:editId="3DD4F7E2">
              <wp:simplePos x="0" y="0"/>
              <wp:positionH relativeFrom="column">
                <wp:posOffset>-914400</wp:posOffset>
              </wp:positionH>
              <wp:positionV relativeFrom="paragraph">
                <wp:posOffset>76200</wp:posOffset>
              </wp:positionV>
              <wp:extent cx="7792720" cy="13335"/>
              <wp:effectExtent l="57150" t="76200" r="36830" b="81915"/>
              <wp:wrapNone/>
              <wp:docPr id="72" name="72 Conector recto"/>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7792720" cy="13335"/>
                      </a:xfrm>
                      <a:prstGeom prst="line">
                        <a:avLst/>
                      </a:prstGeom>
                      <a:ln w="76200">
                        <a:solidFill>
                          <a:srgbClr val="006666"/>
                        </a:solidFill>
                      </a:ln>
                    </wps:spPr>
                    <wps:style>
                      <a:lnRef idx="2">
                        <a:schemeClr val="accent4"/>
                      </a:lnRef>
                      <a:fillRef idx="0">
                        <a:schemeClr val="accent4"/>
                      </a:fillRef>
                      <a:effectRef idx="1">
                        <a:schemeClr val="accent4"/>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w:pict>
            <v:line w14:anchorId="66CEE238" id="72 Conector recto" o:spid="_x0000_s1026" style="position:absolute;flip:y;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in,6pt" to="541.6pt,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" strokecolor="#066" strokeweight="6pt">
              <v:shadow on="t" color="black" opacity="24903f" origin=",.5" offset="0,.55556mm"/>
              <o:lock v:ext="edit" shapetype="f"/>
            </v:line>
          </w:pict>
        </mc:Fallback>
      </mc:AlternateContent>
    </w:r>
  </w:p>
  <w:p w14:paraId="06D8F7A7" w14:textId="77777777" w:rsidR="00E839EC" w:rsidRDefault="00E839EC" w:rsidP="00E839EC">
    <w:pPr>
      <w:pStyle w:val="Piedepgina"/>
      <w:jc w:val="center"/>
      <w:rPr>
        <w:noProof/>
        <w:color w:val="006666"/>
      </w:rPr>
    </w:pPr>
  </w:p>
  <w:p w14:paraId="4CA17824" w14:textId="77777777" w:rsidR="00E839EC" w:rsidRDefault="00E839EC" w:rsidP="00E839EC">
    <w:pPr>
      <w:pStyle w:val="Piedepgina"/>
      <w:jc w:val="center"/>
      <w:rPr>
        <w:rFonts w:ascii="Calibri" w:eastAsia="Calibri" w:hAnsi="Calibri" w:cs="Times New Roman"/>
        <w:b/>
        <w:sz w:val="16"/>
        <w:szCs w:val="16"/>
      </w:rPr>
    </w:pPr>
    <w:r>
      <w:rPr>
        <w:rFonts w:ascii="Calibri" w:eastAsia="Calibri" w:hAnsi="Calibri" w:cs="Times New Roman"/>
        <w:b/>
        <w:sz w:val="16"/>
        <w:szCs w:val="16"/>
      </w:rPr>
      <w:t>Calle Federico Velázquez No.1, María Auxiliadora, Santo Domingo, D.N., Rep. Dom. Tel. 809-681-0080/Fax. 809-845-4765</w:t>
    </w:r>
  </w:p>
  <w:p w14:paraId="698AD8F0" w14:textId="77777777" w:rsidR="00E839EC" w:rsidRPr="0023567C" w:rsidRDefault="00E839EC" w:rsidP="00E839EC">
    <w:pPr>
      <w:pStyle w:val="Piedepgina"/>
      <w:jc w:val="center"/>
      <w:rPr>
        <w:b/>
        <w:sz w:val="16"/>
        <w:szCs w:val="16"/>
      </w:rPr>
    </w:pPr>
    <w:proofErr w:type="spellStart"/>
    <w:r>
      <w:rPr>
        <w:rFonts w:ascii="Calibri" w:eastAsia="Calibri" w:hAnsi="Calibri" w:cs="Times New Roman"/>
        <w:b/>
        <w:sz w:val="16"/>
        <w:szCs w:val="16"/>
      </w:rPr>
      <w:t>Website</w:t>
    </w:r>
    <w:proofErr w:type="spellEnd"/>
    <w:r>
      <w:rPr>
        <w:rFonts w:ascii="Calibri" w:eastAsia="Calibri" w:hAnsi="Calibri" w:cs="Times New Roman"/>
        <w:b/>
        <w:sz w:val="16"/>
        <w:szCs w:val="16"/>
      </w:rPr>
      <w:t>: WWWW.Cecanot.com.do/ E-Mail: dirección@cecanot.com.do</w:t>
    </w:r>
  </w:p>
  <w:p w14:paraId="0EB1638E" w14:textId="77777777" w:rsidR="00E839EC" w:rsidRDefault="00E839EC">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53DDAA" w14:textId="77777777" w:rsidR="00905A97" w:rsidRDefault="00905A97" w:rsidP="00E839EC">
      <w:pPr>
        <w:spacing w:after="0" w:line="240" w:lineRule="auto"/>
      </w:pPr>
      <w:r>
        <w:separator/>
      </w:r>
    </w:p>
  </w:footnote>
  <w:footnote w:type="continuationSeparator" w:id="0">
    <w:p w14:paraId="3B1577E0" w14:textId="77777777" w:rsidR="00905A97" w:rsidRDefault="00905A97" w:rsidP="00E839E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FFBCA7" w14:textId="77777777" w:rsidR="00E839EC" w:rsidRDefault="00E839EC" w:rsidP="00E839EC">
    <w:pPr>
      <w:pStyle w:val="Encabezado"/>
      <w:tabs>
        <w:tab w:val="left" w:pos="825"/>
      </w:tabs>
    </w:pPr>
    <w:r>
      <w:rPr>
        <w:noProof/>
        <w:lang w:eastAsia="es-DO"/>
      </w:rPr>
      <w:drawing>
        <wp:anchor distT="0" distB="0" distL="114300" distR="114300" simplePos="0" relativeHeight="251659264" behindDoc="1" locked="0" layoutInCell="1" allowOverlap="1" wp14:anchorId="34FD0884" wp14:editId="6A3C8F09">
          <wp:simplePos x="0" y="0"/>
          <wp:positionH relativeFrom="column">
            <wp:posOffset>-1118235</wp:posOffset>
          </wp:positionH>
          <wp:positionV relativeFrom="paragraph">
            <wp:posOffset>-449580</wp:posOffset>
          </wp:positionV>
          <wp:extent cx="3857625" cy="1447800"/>
          <wp:effectExtent l="19050" t="0" r="0" b="0"/>
          <wp:wrapThrough wrapText="bothSides">
            <wp:wrapPolygon edited="0">
              <wp:start x="-107" y="0"/>
              <wp:lineTo x="-107" y="20463"/>
              <wp:lineTo x="213" y="20463"/>
              <wp:lineTo x="640" y="20463"/>
              <wp:lineTo x="5867" y="18474"/>
              <wp:lineTo x="5867" y="18189"/>
              <wp:lineTo x="6400" y="18189"/>
              <wp:lineTo x="8000" y="14779"/>
              <wp:lineTo x="8000" y="13642"/>
              <wp:lineTo x="21120" y="13358"/>
              <wp:lineTo x="21440" y="10232"/>
              <wp:lineTo x="17067" y="7674"/>
              <wp:lineTo x="12053" y="4547"/>
              <wp:lineTo x="12160" y="4547"/>
              <wp:lineTo x="18773" y="0"/>
              <wp:lineTo x="-107" y="0"/>
            </wp:wrapPolygon>
          </wp:wrapThrough>
          <wp:docPr id="1" name="Imagen 1" descr="C:\Users\Sr. Reyes\Desktop\LOGO NUEVO SRSM\timbrado_Metropolitan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r. Reyes\Desktop\LOGO NUEVO SRSM\timbrado_Metropolitano.png"/>
                  <pic:cNvPicPr>
                    <a:picLocks noChangeAspect="1" noChangeArrowheads="1"/>
                  </pic:cNvPicPr>
                </pic:nvPicPr>
                <pic:blipFill rotWithShape="1">
                  <a:blip r:embed="rId1">
                    <a:extLst>
                      <a:ext uri="{28A0092B-C50C-407E-A947-70E740481C1C}">
                        <a14:useLocalDpi xmlns:a14="http://schemas.microsoft.com/office/drawing/2010/main" val="0"/>
                      </a:ext>
                    </a:extLst>
                  </a:blip>
                  <a:srcRect r="44281" b="83838"/>
                  <a:stretch/>
                </pic:blipFill>
                <pic:spPr bwMode="auto">
                  <a:xfrm>
                    <a:off x="0" y="0"/>
                    <a:ext cx="3857625" cy="1447800"/>
                  </a:xfrm>
                  <a:prstGeom prst="rect">
                    <a:avLst/>
                  </a:prstGeom>
                  <a:noFill/>
                  <a:ln>
                    <a:noFill/>
                  </a:ln>
                  <a:extLst>
                    <a:ext uri="{53640926-AAD7-44D8-BBD7-CCE9431645EC}">
                      <a14:shadowObscured xmlns:a14="http://schemas.microsoft.com/office/drawing/2010/main"/>
                    </a:ext>
                  </a:extLst>
                </pic:spPr>
              </pic:pic>
            </a:graphicData>
          </a:graphic>
        </wp:anchor>
      </w:drawing>
    </w:r>
    <w:r>
      <w:rPr>
        <w:noProof/>
        <w:lang w:eastAsia="es-DO"/>
      </w:rPr>
      <w:drawing>
        <wp:anchor distT="0" distB="0" distL="114300" distR="114300" simplePos="0" relativeHeight="251660288" behindDoc="0" locked="0" layoutInCell="1" allowOverlap="1" wp14:anchorId="3048395E" wp14:editId="5DCD909B">
          <wp:simplePos x="0" y="0"/>
          <wp:positionH relativeFrom="column">
            <wp:posOffset>5334000</wp:posOffset>
          </wp:positionH>
          <wp:positionV relativeFrom="paragraph">
            <wp:posOffset>-314325</wp:posOffset>
          </wp:positionV>
          <wp:extent cx="1076325" cy="1152525"/>
          <wp:effectExtent l="19050" t="0" r="9525" b="0"/>
          <wp:wrapSquare wrapText="bothSides"/>
          <wp:docPr id="4"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2"/>
                  <a:srcRect/>
                  <a:stretch>
                    <a:fillRect/>
                  </a:stretch>
                </pic:blipFill>
                <pic:spPr bwMode="auto">
                  <a:xfrm>
                    <a:off x="0" y="0"/>
                    <a:ext cx="1076325" cy="1152525"/>
                  </a:xfrm>
                  <a:prstGeom prst="rect">
                    <a:avLst/>
                  </a:prstGeom>
                  <a:noFill/>
                  <a:ln w="9525">
                    <a:noFill/>
                    <a:miter lim="800000"/>
                    <a:headEnd/>
                    <a:tailEnd/>
                  </a:ln>
                </pic:spPr>
              </pic:pic>
            </a:graphicData>
          </a:graphic>
        </wp:anchor>
      </w:drawing>
    </w:r>
    <w:r>
      <w:tab/>
    </w:r>
  </w:p>
  <w:p w14:paraId="40F53DF7" w14:textId="77777777" w:rsidR="00E839EC" w:rsidRDefault="00E839EC" w:rsidP="00E839EC">
    <w:pPr>
      <w:pStyle w:val="Encabezado"/>
    </w:pPr>
  </w:p>
  <w:p w14:paraId="1B570AC5" w14:textId="77777777" w:rsidR="00E839EC" w:rsidRPr="0023567C" w:rsidRDefault="00E839EC" w:rsidP="00E839EC">
    <w:pPr>
      <w:pStyle w:val="Encabezado"/>
    </w:pPr>
    <w:r w:rsidRPr="0023567C">
      <w:t xml:space="preserve">                                                  </w:t>
    </w:r>
  </w:p>
  <w:p w14:paraId="7544D977" w14:textId="77777777" w:rsidR="00E839EC" w:rsidRDefault="00E839EC" w:rsidP="00E839EC">
    <w:pPr>
      <w:pStyle w:val="msonospacing0"/>
      <w:jc w:val="center"/>
      <w:rPr>
        <w:color w:val="008000"/>
        <w:lang w:val="es-DO"/>
      </w:rPr>
    </w:pPr>
    <w:r w:rsidRPr="0023567C">
      <w:rPr>
        <w:color w:val="008000"/>
        <w:lang w:val="es-DO"/>
      </w:rPr>
      <w:t>Centro Cardio-Neuro Oftalmológico y Trasplante</w:t>
    </w:r>
  </w:p>
  <w:p w14:paraId="6D57A962" w14:textId="77777777" w:rsidR="00E839EC" w:rsidRPr="0023567C" w:rsidRDefault="00E839EC" w:rsidP="00E839EC">
    <w:pPr>
      <w:pStyle w:val="msonospacing0"/>
      <w:ind w:left="2832"/>
      <w:rPr>
        <w:lang w:val="es-DO"/>
      </w:rPr>
    </w:pPr>
    <w:r w:rsidRPr="0023567C">
      <w:rPr>
        <w:lang w:val="es-DO"/>
      </w:rPr>
      <w:t>Ciudad Sanitaria Dr. Luís E. Aybar</w:t>
    </w:r>
  </w:p>
  <w:p w14:paraId="5709F7E1" w14:textId="77777777" w:rsidR="00E839EC" w:rsidRPr="0023567C" w:rsidRDefault="00E839EC" w:rsidP="00E839EC">
    <w:pPr>
      <w:pStyle w:val="msonospacing0"/>
      <w:rPr>
        <w:lang w:val="es-DO"/>
      </w:rPr>
    </w:pPr>
    <w:r>
      <w:rPr>
        <w:lang w:val="es-DO"/>
      </w:rPr>
      <w:t xml:space="preserve">                                                                         </w:t>
    </w:r>
    <w:r w:rsidRPr="0023567C">
      <w:rPr>
        <w:lang w:val="es-DO"/>
      </w:rPr>
      <w:t>RNC  4-3006345-2</w:t>
    </w:r>
  </w:p>
  <w:p w14:paraId="34776681" w14:textId="77777777" w:rsidR="00E839EC" w:rsidRPr="0023567C" w:rsidRDefault="00E839EC" w:rsidP="00E839EC">
    <w:pPr>
      <w:pStyle w:val="Encabezado"/>
      <w:jc w:val="center"/>
      <w:rPr>
        <w:rFonts w:ascii="Calibri" w:eastAsia="Calibri" w:hAnsi="Calibri" w:cs="Times New Roman"/>
        <w:b/>
      </w:rPr>
    </w:pPr>
    <w:r w:rsidRPr="0023567C">
      <w:rPr>
        <w:rFonts w:ascii="Calibri" w:eastAsia="Calibri" w:hAnsi="Calibri" w:cs="Times New Roman"/>
        <w:b/>
      </w:rPr>
      <w:t>“Año de</w:t>
    </w:r>
    <w:r>
      <w:rPr>
        <w:rFonts w:ascii="Calibri" w:eastAsia="Calibri" w:hAnsi="Calibri" w:cs="Times New Roman"/>
        <w:b/>
      </w:rPr>
      <w:t xml:space="preserve"> </w:t>
    </w:r>
    <w:r w:rsidR="00C12D00" w:rsidRPr="0023567C">
      <w:rPr>
        <w:rFonts w:ascii="Calibri" w:eastAsia="Calibri" w:hAnsi="Calibri" w:cs="Times New Roman"/>
        <w:b/>
      </w:rPr>
      <w:t>l</w:t>
    </w:r>
    <w:r w:rsidR="00C12D00">
      <w:rPr>
        <w:rFonts w:ascii="Calibri" w:eastAsia="Calibri" w:hAnsi="Calibri" w:cs="Times New Roman"/>
        <w:b/>
      </w:rPr>
      <w:t>a</w:t>
    </w:r>
    <w:r w:rsidR="002B60F6">
      <w:rPr>
        <w:rFonts w:ascii="Calibri" w:eastAsia="Calibri" w:hAnsi="Calibri" w:cs="Times New Roman"/>
        <w:b/>
      </w:rPr>
      <w:t xml:space="preserve"> consolidación de la seguridad alimentaria</w:t>
    </w:r>
    <w:r w:rsidRPr="0023567C">
      <w:rPr>
        <w:rFonts w:ascii="Calibri" w:eastAsia="Calibri" w:hAnsi="Calibri" w:cs="Times New Roman"/>
        <w:b/>
      </w:rPr>
      <w:t>”</w:t>
    </w:r>
  </w:p>
  <w:p w14:paraId="63A42EB0" w14:textId="77777777" w:rsidR="00E839EC" w:rsidRDefault="00E839EC">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2F42DD"/>
    <w:multiLevelType w:val="hybridMultilevel"/>
    <w:tmpl w:val="C7442238"/>
    <w:lvl w:ilvl="0" w:tplc="1C0A0001">
      <w:start w:val="1"/>
      <w:numFmt w:val="bullet"/>
      <w:lvlText w:val=""/>
      <w:lvlJc w:val="left"/>
      <w:pPr>
        <w:ind w:left="1080" w:hanging="360"/>
      </w:pPr>
      <w:rPr>
        <w:rFonts w:ascii="Symbol" w:hAnsi="Symbol" w:hint="default"/>
      </w:rPr>
    </w:lvl>
    <w:lvl w:ilvl="1" w:tplc="1C0A0003" w:tentative="1">
      <w:start w:val="1"/>
      <w:numFmt w:val="bullet"/>
      <w:lvlText w:val="o"/>
      <w:lvlJc w:val="left"/>
      <w:pPr>
        <w:ind w:left="1800" w:hanging="360"/>
      </w:pPr>
      <w:rPr>
        <w:rFonts w:ascii="Courier New" w:hAnsi="Courier New" w:cs="Courier New" w:hint="default"/>
      </w:rPr>
    </w:lvl>
    <w:lvl w:ilvl="2" w:tplc="1C0A0005" w:tentative="1">
      <w:start w:val="1"/>
      <w:numFmt w:val="bullet"/>
      <w:lvlText w:val=""/>
      <w:lvlJc w:val="left"/>
      <w:pPr>
        <w:ind w:left="2520" w:hanging="360"/>
      </w:pPr>
      <w:rPr>
        <w:rFonts w:ascii="Wingdings" w:hAnsi="Wingdings" w:hint="default"/>
      </w:rPr>
    </w:lvl>
    <w:lvl w:ilvl="3" w:tplc="1C0A0001" w:tentative="1">
      <w:start w:val="1"/>
      <w:numFmt w:val="bullet"/>
      <w:lvlText w:val=""/>
      <w:lvlJc w:val="left"/>
      <w:pPr>
        <w:ind w:left="3240" w:hanging="360"/>
      </w:pPr>
      <w:rPr>
        <w:rFonts w:ascii="Symbol" w:hAnsi="Symbol" w:hint="default"/>
      </w:rPr>
    </w:lvl>
    <w:lvl w:ilvl="4" w:tplc="1C0A0003" w:tentative="1">
      <w:start w:val="1"/>
      <w:numFmt w:val="bullet"/>
      <w:lvlText w:val="o"/>
      <w:lvlJc w:val="left"/>
      <w:pPr>
        <w:ind w:left="3960" w:hanging="360"/>
      </w:pPr>
      <w:rPr>
        <w:rFonts w:ascii="Courier New" w:hAnsi="Courier New" w:cs="Courier New" w:hint="default"/>
      </w:rPr>
    </w:lvl>
    <w:lvl w:ilvl="5" w:tplc="1C0A0005" w:tentative="1">
      <w:start w:val="1"/>
      <w:numFmt w:val="bullet"/>
      <w:lvlText w:val=""/>
      <w:lvlJc w:val="left"/>
      <w:pPr>
        <w:ind w:left="4680" w:hanging="360"/>
      </w:pPr>
      <w:rPr>
        <w:rFonts w:ascii="Wingdings" w:hAnsi="Wingdings" w:hint="default"/>
      </w:rPr>
    </w:lvl>
    <w:lvl w:ilvl="6" w:tplc="1C0A0001" w:tentative="1">
      <w:start w:val="1"/>
      <w:numFmt w:val="bullet"/>
      <w:lvlText w:val=""/>
      <w:lvlJc w:val="left"/>
      <w:pPr>
        <w:ind w:left="5400" w:hanging="360"/>
      </w:pPr>
      <w:rPr>
        <w:rFonts w:ascii="Symbol" w:hAnsi="Symbol" w:hint="default"/>
      </w:rPr>
    </w:lvl>
    <w:lvl w:ilvl="7" w:tplc="1C0A0003" w:tentative="1">
      <w:start w:val="1"/>
      <w:numFmt w:val="bullet"/>
      <w:lvlText w:val="o"/>
      <w:lvlJc w:val="left"/>
      <w:pPr>
        <w:ind w:left="6120" w:hanging="360"/>
      </w:pPr>
      <w:rPr>
        <w:rFonts w:ascii="Courier New" w:hAnsi="Courier New" w:cs="Courier New" w:hint="default"/>
      </w:rPr>
    </w:lvl>
    <w:lvl w:ilvl="8" w:tplc="1C0A0005" w:tentative="1">
      <w:start w:val="1"/>
      <w:numFmt w:val="bullet"/>
      <w:lvlText w:val=""/>
      <w:lvlJc w:val="left"/>
      <w:pPr>
        <w:ind w:left="6840" w:hanging="360"/>
      </w:pPr>
      <w:rPr>
        <w:rFonts w:ascii="Wingdings" w:hAnsi="Wingdings" w:hint="default"/>
      </w:rPr>
    </w:lvl>
  </w:abstractNum>
  <w:abstractNum w:abstractNumId="1" w15:restartNumberingAfterBreak="0">
    <w:nsid w:val="29C518AD"/>
    <w:multiLevelType w:val="hybridMultilevel"/>
    <w:tmpl w:val="92CC3FDA"/>
    <w:lvl w:ilvl="0" w:tplc="1C0A0001">
      <w:start w:val="1"/>
      <w:numFmt w:val="bullet"/>
      <w:lvlText w:val=""/>
      <w:lvlJc w:val="left"/>
      <w:pPr>
        <w:ind w:left="720" w:hanging="360"/>
      </w:pPr>
      <w:rPr>
        <w:rFonts w:ascii="Symbol" w:hAnsi="Symbol" w:hint="default"/>
      </w:rPr>
    </w:lvl>
    <w:lvl w:ilvl="1" w:tplc="1C0A0003" w:tentative="1">
      <w:start w:val="1"/>
      <w:numFmt w:val="bullet"/>
      <w:lvlText w:val="o"/>
      <w:lvlJc w:val="left"/>
      <w:pPr>
        <w:ind w:left="1440" w:hanging="360"/>
      </w:pPr>
      <w:rPr>
        <w:rFonts w:ascii="Courier New" w:hAnsi="Courier New" w:cs="Courier New" w:hint="default"/>
      </w:rPr>
    </w:lvl>
    <w:lvl w:ilvl="2" w:tplc="1C0A0005" w:tentative="1">
      <w:start w:val="1"/>
      <w:numFmt w:val="bullet"/>
      <w:lvlText w:val=""/>
      <w:lvlJc w:val="left"/>
      <w:pPr>
        <w:ind w:left="2160" w:hanging="360"/>
      </w:pPr>
      <w:rPr>
        <w:rFonts w:ascii="Wingdings" w:hAnsi="Wingdings" w:hint="default"/>
      </w:rPr>
    </w:lvl>
    <w:lvl w:ilvl="3" w:tplc="1C0A0001" w:tentative="1">
      <w:start w:val="1"/>
      <w:numFmt w:val="bullet"/>
      <w:lvlText w:val=""/>
      <w:lvlJc w:val="left"/>
      <w:pPr>
        <w:ind w:left="2880" w:hanging="360"/>
      </w:pPr>
      <w:rPr>
        <w:rFonts w:ascii="Symbol" w:hAnsi="Symbol" w:hint="default"/>
      </w:rPr>
    </w:lvl>
    <w:lvl w:ilvl="4" w:tplc="1C0A0003" w:tentative="1">
      <w:start w:val="1"/>
      <w:numFmt w:val="bullet"/>
      <w:lvlText w:val="o"/>
      <w:lvlJc w:val="left"/>
      <w:pPr>
        <w:ind w:left="3600" w:hanging="360"/>
      </w:pPr>
      <w:rPr>
        <w:rFonts w:ascii="Courier New" w:hAnsi="Courier New" w:cs="Courier New" w:hint="default"/>
      </w:rPr>
    </w:lvl>
    <w:lvl w:ilvl="5" w:tplc="1C0A0005" w:tentative="1">
      <w:start w:val="1"/>
      <w:numFmt w:val="bullet"/>
      <w:lvlText w:val=""/>
      <w:lvlJc w:val="left"/>
      <w:pPr>
        <w:ind w:left="4320" w:hanging="360"/>
      </w:pPr>
      <w:rPr>
        <w:rFonts w:ascii="Wingdings" w:hAnsi="Wingdings" w:hint="default"/>
      </w:rPr>
    </w:lvl>
    <w:lvl w:ilvl="6" w:tplc="1C0A0001" w:tentative="1">
      <w:start w:val="1"/>
      <w:numFmt w:val="bullet"/>
      <w:lvlText w:val=""/>
      <w:lvlJc w:val="left"/>
      <w:pPr>
        <w:ind w:left="5040" w:hanging="360"/>
      </w:pPr>
      <w:rPr>
        <w:rFonts w:ascii="Symbol" w:hAnsi="Symbol" w:hint="default"/>
      </w:rPr>
    </w:lvl>
    <w:lvl w:ilvl="7" w:tplc="1C0A0003" w:tentative="1">
      <w:start w:val="1"/>
      <w:numFmt w:val="bullet"/>
      <w:lvlText w:val="o"/>
      <w:lvlJc w:val="left"/>
      <w:pPr>
        <w:ind w:left="5760" w:hanging="360"/>
      </w:pPr>
      <w:rPr>
        <w:rFonts w:ascii="Courier New" w:hAnsi="Courier New" w:cs="Courier New" w:hint="default"/>
      </w:rPr>
    </w:lvl>
    <w:lvl w:ilvl="8" w:tplc="1C0A0005" w:tentative="1">
      <w:start w:val="1"/>
      <w:numFmt w:val="bullet"/>
      <w:lvlText w:val=""/>
      <w:lvlJc w:val="left"/>
      <w:pPr>
        <w:ind w:left="6480" w:hanging="360"/>
      </w:pPr>
      <w:rPr>
        <w:rFonts w:ascii="Wingdings" w:hAnsi="Wingdings" w:hint="default"/>
      </w:rPr>
    </w:lvl>
  </w:abstractNum>
  <w:abstractNum w:abstractNumId="2" w15:restartNumberingAfterBreak="0">
    <w:nsid w:val="339D46BB"/>
    <w:multiLevelType w:val="hybridMultilevel"/>
    <w:tmpl w:val="148ED144"/>
    <w:lvl w:ilvl="0" w:tplc="1C0A0001">
      <w:start w:val="1"/>
      <w:numFmt w:val="bullet"/>
      <w:lvlText w:val=""/>
      <w:lvlJc w:val="left"/>
      <w:pPr>
        <w:ind w:left="720" w:hanging="360"/>
      </w:pPr>
      <w:rPr>
        <w:rFonts w:ascii="Symbol" w:hAnsi="Symbol" w:hint="default"/>
      </w:rPr>
    </w:lvl>
    <w:lvl w:ilvl="1" w:tplc="1C0A0003" w:tentative="1">
      <w:start w:val="1"/>
      <w:numFmt w:val="bullet"/>
      <w:lvlText w:val="o"/>
      <w:lvlJc w:val="left"/>
      <w:pPr>
        <w:ind w:left="1440" w:hanging="360"/>
      </w:pPr>
      <w:rPr>
        <w:rFonts w:ascii="Courier New" w:hAnsi="Courier New" w:cs="Courier New" w:hint="default"/>
      </w:rPr>
    </w:lvl>
    <w:lvl w:ilvl="2" w:tplc="1C0A0005" w:tentative="1">
      <w:start w:val="1"/>
      <w:numFmt w:val="bullet"/>
      <w:lvlText w:val=""/>
      <w:lvlJc w:val="left"/>
      <w:pPr>
        <w:ind w:left="2160" w:hanging="360"/>
      </w:pPr>
      <w:rPr>
        <w:rFonts w:ascii="Wingdings" w:hAnsi="Wingdings" w:hint="default"/>
      </w:rPr>
    </w:lvl>
    <w:lvl w:ilvl="3" w:tplc="1C0A0001" w:tentative="1">
      <w:start w:val="1"/>
      <w:numFmt w:val="bullet"/>
      <w:lvlText w:val=""/>
      <w:lvlJc w:val="left"/>
      <w:pPr>
        <w:ind w:left="2880" w:hanging="360"/>
      </w:pPr>
      <w:rPr>
        <w:rFonts w:ascii="Symbol" w:hAnsi="Symbol" w:hint="default"/>
      </w:rPr>
    </w:lvl>
    <w:lvl w:ilvl="4" w:tplc="1C0A0003" w:tentative="1">
      <w:start w:val="1"/>
      <w:numFmt w:val="bullet"/>
      <w:lvlText w:val="o"/>
      <w:lvlJc w:val="left"/>
      <w:pPr>
        <w:ind w:left="3600" w:hanging="360"/>
      </w:pPr>
      <w:rPr>
        <w:rFonts w:ascii="Courier New" w:hAnsi="Courier New" w:cs="Courier New" w:hint="default"/>
      </w:rPr>
    </w:lvl>
    <w:lvl w:ilvl="5" w:tplc="1C0A0005" w:tentative="1">
      <w:start w:val="1"/>
      <w:numFmt w:val="bullet"/>
      <w:lvlText w:val=""/>
      <w:lvlJc w:val="left"/>
      <w:pPr>
        <w:ind w:left="4320" w:hanging="360"/>
      </w:pPr>
      <w:rPr>
        <w:rFonts w:ascii="Wingdings" w:hAnsi="Wingdings" w:hint="default"/>
      </w:rPr>
    </w:lvl>
    <w:lvl w:ilvl="6" w:tplc="1C0A0001" w:tentative="1">
      <w:start w:val="1"/>
      <w:numFmt w:val="bullet"/>
      <w:lvlText w:val=""/>
      <w:lvlJc w:val="left"/>
      <w:pPr>
        <w:ind w:left="5040" w:hanging="360"/>
      </w:pPr>
      <w:rPr>
        <w:rFonts w:ascii="Symbol" w:hAnsi="Symbol" w:hint="default"/>
      </w:rPr>
    </w:lvl>
    <w:lvl w:ilvl="7" w:tplc="1C0A0003" w:tentative="1">
      <w:start w:val="1"/>
      <w:numFmt w:val="bullet"/>
      <w:lvlText w:val="o"/>
      <w:lvlJc w:val="left"/>
      <w:pPr>
        <w:ind w:left="5760" w:hanging="360"/>
      </w:pPr>
      <w:rPr>
        <w:rFonts w:ascii="Courier New" w:hAnsi="Courier New" w:cs="Courier New" w:hint="default"/>
      </w:rPr>
    </w:lvl>
    <w:lvl w:ilvl="8" w:tplc="1C0A0005" w:tentative="1">
      <w:start w:val="1"/>
      <w:numFmt w:val="bullet"/>
      <w:lvlText w:val=""/>
      <w:lvlJc w:val="left"/>
      <w:pPr>
        <w:ind w:left="6480" w:hanging="360"/>
      </w:pPr>
      <w:rPr>
        <w:rFonts w:ascii="Wingdings" w:hAnsi="Wingdings" w:hint="default"/>
      </w:rPr>
    </w:lvl>
  </w:abstractNum>
  <w:abstractNum w:abstractNumId="3" w15:restartNumberingAfterBreak="0">
    <w:nsid w:val="386B125B"/>
    <w:multiLevelType w:val="hybridMultilevel"/>
    <w:tmpl w:val="AE2434CC"/>
    <w:lvl w:ilvl="0" w:tplc="1C0A0001">
      <w:start w:val="1"/>
      <w:numFmt w:val="bullet"/>
      <w:lvlText w:val=""/>
      <w:lvlJc w:val="left"/>
      <w:pPr>
        <w:ind w:left="720" w:hanging="360"/>
      </w:pPr>
      <w:rPr>
        <w:rFonts w:ascii="Symbol" w:hAnsi="Symbol" w:hint="default"/>
      </w:rPr>
    </w:lvl>
    <w:lvl w:ilvl="1" w:tplc="1C0A0003" w:tentative="1">
      <w:start w:val="1"/>
      <w:numFmt w:val="bullet"/>
      <w:lvlText w:val="o"/>
      <w:lvlJc w:val="left"/>
      <w:pPr>
        <w:ind w:left="1440" w:hanging="360"/>
      </w:pPr>
      <w:rPr>
        <w:rFonts w:ascii="Courier New" w:hAnsi="Courier New" w:cs="Courier New" w:hint="default"/>
      </w:rPr>
    </w:lvl>
    <w:lvl w:ilvl="2" w:tplc="1C0A0005" w:tentative="1">
      <w:start w:val="1"/>
      <w:numFmt w:val="bullet"/>
      <w:lvlText w:val=""/>
      <w:lvlJc w:val="left"/>
      <w:pPr>
        <w:ind w:left="2160" w:hanging="360"/>
      </w:pPr>
      <w:rPr>
        <w:rFonts w:ascii="Wingdings" w:hAnsi="Wingdings" w:hint="default"/>
      </w:rPr>
    </w:lvl>
    <w:lvl w:ilvl="3" w:tplc="1C0A0001" w:tentative="1">
      <w:start w:val="1"/>
      <w:numFmt w:val="bullet"/>
      <w:lvlText w:val=""/>
      <w:lvlJc w:val="left"/>
      <w:pPr>
        <w:ind w:left="2880" w:hanging="360"/>
      </w:pPr>
      <w:rPr>
        <w:rFonts w:ascii="Symbol" w:hAnsi="Symbol" w:hint="default"/>
      </w:rPr>
    </w:lvl>
    <w:lvl w:ilvl="4" w:tplc="1C0A0003" w:tentative="1">
      <w:start w:val="1"/>
      <w:numFmt w:val="bullet"/>
      <w:lvlText w:val="o"/>
      <w:lvlJc w:val="left"/>
      <w:pPr>
        <w:ind w:left="3600" w:hanging="360"/>
      </w:pPr>
      <w:rPr>
        <w:rFonts w:ascii="Courier New" w:hAnsi="Courier New" w:cs="Courier New" w:hint="default"/>
      </w:rPr>
    </w:lvl>
    <w:lvl w:ilvl="5" w:tplc="1C0A0005" w:tentative="1">
      <w:start w:val="1"/>
      <w:numFmt w:val="bullet"/>
      <w:lvlText w:val=""/>
      <w:lvlJc w:val="left"/>
      <w:pPr>
        <w:ind w:left="4320" w:hanging="360"/>
      </w:pPr>
      <w:rPr>
        <w:rFonts w:ascii="Wingdings" w:hAnsi="Wingdings" w:hint="default"/>
      </w:rPr>
    </w:lvl>
    <w:lvl w:ilvl="6" w:tplc="1C0A0001" w:tentative="1">
      <w:start w:val="1"/>
      <w:numFmt w:val="bullet"/>
      <w:lvlText w:val=""/>
      <w:lvlJc w:val="left"/>
      <w:pPr>
        <w:ind w:left="5040" w:hanging="360"/>
      </w:pPr>
      <w:rPr>
        <w:rFonts w:ascii="Symbol" w:hAnsi="Symbol" w:hint="default"/>
      </w:rPr>
    </w:lvl>
    <w:lvl w:ilvl="7" w:tplc="1C0A0003" w:tentative="1">
      <w:start w:val="1"/>
      <w:numFmt w:val="bullet"/>
      <w:lvlText w:val="o"/>
      <w:lvlJc w:val="left"/>
      <w:pPr>
        <w:ind w:left="5760" w:hanging="360"/>
      </w:pPr>
      <w:rPr>
        <w:rFonts w:ascii="Courier New" w:hAnsi="Courier New" w:cs="Courier New" w:hint="default"/>
      </w:rPr>
    </w:lvl>
    <w:lvl w:ilvl="8" w:tplc="1C0A0005" w:tentative="1">
      <w:start w:val="1"/>
      <w:numFmt w:val="bullet"/>
      <w:lvlText w:val=""/>
      <w:lvlJc w:val="left"/>
      <w:pPr>
        <w:ind w:left="6480" w:hanging="360"/>
      </w:pPr>
      <w:rPr>
        <w:rFonts w:ascii="Wingdings" w:hAnsi="Wingdings" w:hint="default"/>
      </w:rPr>
    </w:lvl>
  </w:abstractNum>
  <w:abstractNum w:abstractNumId="4" w15:restartNumberingAfterBreak="0">
    <w:nsid w:val="470F51B0"/>
    <w:multiLevelType w:val="hybridMultilevel"/>
    <w:tmpl w:val="2B8C2908"/>
    <w:lvl w:ilvl="0" w:tplc="1C0A000F">
      <w:start w:val="9"/>
      <w:numFmt w:val="decimal"/>
      <w:lvlText w:val="%1."/>
      <w:lvlJc w:val="left"/>
      <w:pPr>
        <w:ind w:left="785" w:hanging="360"/>
      </w:pPr>
      <w:rPr>
        <w:rFonts w:hint="default"/>
      </w:rPr>
    </w:lvl>
    <w:lvl w:ilvl="1" w:tplc="1C0A0019" w:tentative="1">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5" w15:restartNumberingAfterBreak="0">
    <w:nsid w:val="52DA428F"/>
    <w:multiLevelType w:val="hybridMultilevel"/>
    <w:tmpl w:val="39E0AC82"/>
    <w:lvl w:ilvl="0" w:tplc="1C0A0001">
      <w:start w:val="1"/>
      <w:numFmt w:val="bullet"/>
      <w:lvlText w:val=""/>
      <w:lvlJc w:val="left"/>
      <w:pPr>
        <w:ind w:left="720" w:hanging="360"/>
      </w:pPr>
      <w:rPr>
        <w:rFonts w:ascii="Symbol" w:hAnsi="Symbol" w:hint="default"/>
      </w:rPr>
    </w:lvl>
    <w:lvl w:ilvl="1" w:tplc="1C0A0003" w:tentative="1">
      <w:start w:val="1"/>
      <w:numFmt w:val="bullet"/>
      <w:lvlText w:val="o"/>
      <w:lvlJc w:val="left"/>
      <w:pPr>
        <w:ind w:left="1440" w:hanging="360"/>
      </w:pPr>
      <w:rPr>
        <w:rFonts w:ascii="Courier New" w:hAnsi="Courier New" w:cs="Courier New" w:hint="default"/>
      </w:rPr>
    </w:lvl>
    <w:lvl w:ilvl="2" w:tplc="1C0A0005" w:tentative="1">
      <w:start w:val="1"/>
      <w:numFmt w:val="bullet"/>
      <w:lvlText w:val=""/>
      <w:lvlJc w:val="left"/>
      <w:pPr>
        <w:ind w:left="2160" w:hanging="360"/>
      </w:pPr>
      <w:rPr>
        <w:rFonts w:ascii="Wingdings" w:hAnsi="Wingdings" w:hint="default"/>
      </w:rPr>
    </w:lvl>
    <w:lvl w:ilvl="3" w:tplc="1C0A0001" w:tentative="1">
      <w:start w:val="1"/>
      <w:numFmt w:val="bullet"/>
      <w:lvlText w:val=""/>
      <w:lvlJc w:val="left"/>
      <w:pPr>
        <w:ind w:left="2880" w:hanging="360"/>
      </w:pPr>
      <w:rPr>
        <w:rFonts w:ascii="Symbol" w:hAnsi="Symbol" w:hint="default"/>
      </w:rPr>
    </w:lvl>
    <w:lvl w:ilvl="4" w:tplc="1C0A0003" w:tentative="1">
      <w:start w:val="1"/>
      <w:numFmt w:val="bullet"/>
      <w:lvlText w:val="o"/>
      <w:lvlJc w:val="left"/>
      <w:pPr>
        <w:ind w:left="3600" w:hanging="360"/>
      </w:pPr>
      <w:rPr>
        <w:rFonts w:ascii="Courier New" w:hAnsi="Courier New" w:cs="Courier New" w:hint="default"/>
      </w:rPr>
    </w:lvl>
    <w:lvl w:ilvl="5" w:tplc="1C0A0005" w:tentative="1">
      <w:start w:val="1"/>
      <w:numFmt w:val="bullet"/>
      <w:lvlText w:val=""/>
      <w:lvlJc w:val="left"/>
      <w:pPr>
        <w:ind w:left="4320" w:hanging="360"/>
      </w:pPr>
      <w:rPr>
        <w:rFonts w:ascii="Wingdings" w:hAnsi="Wingdings" w:hint="default"/>
      </w:rPr>
    </w:lvl>
    <w:lvl w:ilvl="6" w:tplc="1C0A0001" w:tentative="1">
      <w:start w:val="1"/>
      <w:numFmt w:val="bullet"/>
      <w:lvlText w:val=""/>
      <w:lvlJc w:val="left"/>
      <w:pPr>
        <w:ind w:left="5040" w:hanging="360"/>
      </w:pPr>
      <w:rPr>
        <w:rFonts w:ascii="Symbol" w:hAnsi="Symbol" w:hint="default"/>
      </w:rPr>
    </w:lvl>
    <w:lvl w:ilvl="7" w:tplc="1C0A0003" w:tentative="1">
      <w:start w:val="1"/>
      <w:numFmt w:val="bullet"/>
      <w:lvlText w:val="o"/>
      <w:lvlJc w:val="left"/>
      <w:pPr>
        <w:ind w:left="5760" w:hanging="360"/>
      </w:pPr>
      <w:rPr>
        <w:rFonts w:ascii="Courier New" w:hAnsi="Courier New" w:cs="Courier New" w:hint="default"/>
      </w:rPr>
    </w:lvl>
    <w:lvl w:ilvl="8" w:tplc="1C0A0005" w:tentative="1">
      <w:start w:val="1"/>
      <w:numFmt w:val="bullet"/>
      <w:lvlText w:val=""/>
      <w:lvlJc w:val="left"/>
      <w:pPr>
        <w:ind w:left="6480" w:hanging="360"/>
      </w:pPr>
      <w:rPr>
        <w:rFonts w:ascii="Wingdings" w:hAnsi="Wingdings" w:hint="default"/>
      </w:rPr>
    </w:lvl>
  </w:abstractNum>
  <w:num w:numId="1">
    <w:abstractNumId w:val="2"/>
  </w:num>
  <w:num w:numId="2">
    <w:abstractNumId w:val="5"/>
  </w:num>
  <w:num w:numId="3">
    <w:abstractNumId w:val="1"/>
  </w:num>
  <w:num w:numId="4">
    <w:abstractNumId w:val="3"/>
  </w:num>
  <w:num w:numId="5">
    <w:abstractNumId w:val="0"/>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39EC"/>
    <w:rsid w:val="00006494"/>
    <w:rsid w:val="00012280"/>
    <w:rsid w:val="000345AF"/>
    <w:rsid w:val="00036605"/>
    <w:rsid w:val="00047B63"/>
    <w:rsid w:val="00055054"/>
    <w:rsid w:val="00060429"/>
    <w:rsid w:val="000721BF"/>
    <w:rsid w:val="00084EB1"/>
    <w:rsid w:val="00092DAA"/>
    <w:rsid w:val="00096F4C"/>
    <w:rsid w:val="000A5F32"/>
    <w:rsid w:val="000B2965"/>
    <w:rsid w:val="000E2DCD"/>
    <w:rsid w:val="000E4602"/>
    <w:rsid w:val="000F1FAE"/>
    <w:rsid w:val="00105189"/>
    <w:rsid w:val="00111E18"/>
    <w:rsid w:val="0011312E"/>
    <w:rsid w:val="00122E83"/>
    <w:rsid w:val="001501BA"/>
    <w:rsid w:val="001510A6"/>
    <w:rsid w:val="0015331B"/>
    <w:rsid w:val="00157CAE"/>
    <w:rsid w:val="00170944"/>
    <w:rsid w:val="00173E0B"/>
    <w:rsid w:val="0017567F"/>
    <w:rsid w:val="00191BAE"/>
    <w:rsid w:val="00193941"/>
    <w:rsid w:val="001A2B1F"/>
    <w:rsid w:val="001B0C56"/>
    <w:rsid w:val="001B3ACD"/>
    <w:rsid w:val="001F6481"/>
    <w:rsid w:val="00242EA4"/>
    <w:rsid w:val="00260922"/>
    <w:rsid w:val="00263248"/>
    <w:rsid w:val="00271232"/>
    <w:rsid w:val="002724C4"/>
    <w:rsid w:val="00296EBA"/>
    <w:rsid w:val="002A1EE8"/>
    <w:rsid w:val="002B3AE8"/>
    <w:rsid w:val="002B60F6"/>
    <w:rsid w:val="002C2A94"/>
    <w:rsid w:val="002C51EF"/>
    <w:rsid w:val="002D303D"/>
    <w:rsid w:val="00303955"/>
    <w:rsid w:val="00306C46"/>
    <w:rsid w:val="003307B4"/>
    <w:rsid w:val="003621E9"/>
    <w:rsid w:val="00366E9E"/>
    <w:rsid w:val="00375BE6"/>
    <w:rsid w:val="003844FF"/>
    <w:rsid w:val="0038638F"/>
    <w:rsid w:val="003A0B4E"/>
    <w:rsid w:val="003A61CA"/>
    <w:rsid w:val="003D039E"/>
    <w:rsid w:val="003D691B"/>
    <w:rsid w:val="003E4F7A"/>
    <w:rsid w:val="00426ECC"/>
    <w:rsid w:val="00440880"/>
    <w:rsid w:val="0044469A"/>
    <w:rsid w:val="00447532"/>
    <w:rsid w:val="00456592"/>
    <w:rsid w:val="0047071A"/>
    <w:rsid w:val="004710AD"/>
    <w:rsid w:val="004866EA"/>
    <w:rsid w:val="004C003D"/>
    <w:rsid w:val="004D3F1B"/>
    <w:rsid w:val="004D7591"/>
    <w:rsid w:val="004F21AC"/>
    <w:rsid w:val="00500D3C"/>
    <w:rsid w:val="005064C4"/>
    <w:rsid w:val="00511E0E"/>
    <w:rsid w:val="005145F0"/>
    <w:rsid w:val="00524679"/>
    <w:rsid w:val="00524E62"/>
    <w:rsid w:val="00541A8D"/>
    <w:rsid w:val="00542F34"/>
    <w:rsid w:val="00544827"/>
    <w:rsid w:val="0055610E"/>
    <w:rsid w:val="005756A0"/>
    <w:rsid w:val="00577D3D"/>
    <w:rsid w:val="00583CE8"/>
    <w:rsid w:val="0058619C"/>
    <w:rsid w:val="005975B1"/>
    <w:rsid w:val="005A472D"/>
    <w:rsid w:val="005D7193"/>
    <w:rsid w:val="005D7217"/>
    <w:rsid w:val="005E66D5"/>
    <w:rsid w:val="00614100"/>
    <w:rsid w:val="00615AD1"/>
    <w:rsid w:val="006308FB"/>
    <w:rsid w:val="00631297"/>
    <w:rsid w:val="00635836"/>
    <w:rsid w:val="00644153"/>
    <w:rsid w:val="006457ED"/>
    <w:rsid w:val="00662CCD"/>
    <w:rsid w:val="006D0A69"/>
    <w:rsid w:val="006F603B"/>
    <w:rsid w:val="00703148"/>
    <w:rsid w:val="00711239"/>
    <w:rsid w:val="00715199"/>
    <w:rsid w:val="00715DB8"/>
    <w:rsid w:val="00742FAB"/>
    <w:rsid w:val="00751731"/>
    <w:rsid w:val="00756863"/>
    <w:rsid w:val="0076227D"/>
    <w:rsid w:val="00786E81"/>
    <w:rsid w:val="00787AFB"/>
    <w:rsid w:val="00790AA9"/>
    <w:rsid w:val="007A52EF"/>
    <w:rsid w:val="007C0FF3"/>
    <w:rsid w:val="007C16C7"/>
    <w:rsid w:val="007D22AD"/>
    <w:rsid w:val="007E508A"/>
    <w:rsid w:val="007F2104"/>
    <w:rsid w:val="00823AAB"/>
    <w:rsid w:val="00866FE3"/>
    <w:rsid w:val="00876FED"/>
    <w:rsid w:val="008805E7"/>
    <w:rsid w:val="0088776B"/>
    <w:rsid w:val="008941DC"/>
    <w:rsid w:val="008A6518"/>
    <w:rsid w:val="008C2660"/>
    <w:rsid w:val="008D46C3"/>
    <w:rsid w:val="008E3620"/>
    <w:rsid w:val="008F3340"/>
    <w:rsid w:val="008F50D2"/>
    <w:rsid w:val="008F5D87"/>
    <w:rsid w:val="009040FD"/>
    <w:rsid w:val="00905A97"/>
    <w:rsid w:val="0091170A"/>
    <w:rsid w:val="00916F6F"/>
    <w:rsid w:val="00941FEB"/>
    <w:rsid w:val="0095544B"/>
    <w:rsid w:val="00957F78"/>
    <w:rsid w:val="00981ECC"/>
    <w:rsid w:val="009C161E"/>
    <w:rsid w:val="009D16F4"/>
    <w:rsid w:val="009F6736"/>
    <w:rsid w:val="009F736D"/>
    <w:rsid w:val="00A1162A"/>
    <w:rsid w:val="00A15532"/>
    <w:rsid w:val="00A237EE"/>
    <w:rsid w:val="00A41FBD"/>
    <w:rsid w:val="00A55F5D"/>
    <w:rsid w:val="00A56C60"/>
    <w:rsid w:val="00A6143B"/>
    <w:rsid w:val="00A61462"/>
    <w:rsid w:val="00A64BBC"/>
    <w:rsid w:val="00A70BB7"/>
    <w:rsid w:val="00A751EE"/>
    <w:rsid w:val="00AA1D43"/>
    <w:rsid w:val="00AA2D52"/>
    <w:rsid w:val="00AA4536"/>
    <w:rsid w:val="00AB27E1"/>
    <w:rsid w:val="00AB4784"/>
    <w:rsid w:val="00AB7354"/>
    <w:rsid w:val="00AB774C"/>
    <w:rsid w:val="00AC34F9"/>
    <w:rsid w:val="00AD0C70"/>
    <w:rsid w:val="00AD1F1B"/>
    <w:rsid w:val="00B22A5B"/>
    <w:rsid w:val="00B24A80"/>
    <w:rsid w:val="00B428BC"/>
    <w:rsid w:val="00B4338E"/>
    <w:rsid w:val="00B53F32"/>
    <w:rsid w:val="00B60B5C"/>
    <w:rsid w:val="00B633E9"/>
    <w:rsid w:val="00B72312"/>
    <w:rsid w:val="00B72C6F"/>
    <w:rsid w:val="00B83962"/>
    <w:rsid w:val="00B87732"/>
    <w:rsid w:val="00B92137"/>
    <w:rsid w:val="00BA53D3"/>
    <w:rsid w:val="00BA6435"/>
    <w:rsid w:val="00BB6F28"/>
    <w:rsid w:val="00BB6F29"/>
    <w:rsid w:val="00BD6F1E"/>
    <w:rsid w:val="00BE6AE8"/>
    <w:rsid w:val="00BF5F13"/>
    <w:rsid w:val="00C12D00"/>
    <w:rsid w:val="00C13F1D"/>
    <w:rsid w:val="00C2138C"/>
    <w:rsid w:val="00C22878"/>
    <w:rsid w:val="00C43F87"/>
    <w:rsid w:val="00C46B55"/>
    <w:rsid w:val="00C47E2F"/>
    <w:rsid w:val="00C504AA"/>
    <w:rsid w:val="00C56FFA"/>
    <w:rsid w:val="00C773E4"/>
    <w:rsid w:val="00C82055"/>
    <w:rsid w:val="00C87285"/>
    <w:rsid w:val="00C94C6F"/>
    <w:rsid w:val="00C97EBD"/>
    <w:rsid w:val="00CC184F"/>
    <w:rsid w:val="00CC2DAF"/>
    <w:rsid w:val="00CD3E8E"/>
    <w:rsid w:val="00CD5701"/>
    <w:rsid w:val="00CD7929"/>
    <w:rsid w:val="00CE5A6D"/>
    <w:rsid w:val="00CF6DD1"/>
    <w:rsid w:val="00D03C6E"/>
    <w:rsid w:val="00D1544F"/>
    <w:rsid w:val="00D2235E"/>
    <w:rsid w:val="00D23D21"/>
    <w:rsid w:val="00D25D90"/>
    <w:rsid w:val="00D34C29"/>
    <w:rsid w:val="00D712E3"/>
    <w:rsid w:val="00D732CF"/>
    <w:rsid w:val="00D82F80"/>
    <w:rsid w:val="00D8558E"/>
    <w:rsid w:val="00D85759"/>
    <w:rsid w:val="00DA02B2"/>
    <w:rsid w:val="00DE6850"/>
    <w:rsid w:val="00DE7679"/>
    <w:rsid w:val="00E10895"/>
    <w:rsid w:val="00E279FE"/>
    <w:rsid w:val="00E30E0C"/>
    <w:rsid w:val="00E31679"/>
    <w:rsid w:val="00E509EA"/>
    <w:rsid w:val="00E52797"/>
    <w:rsid w:val="00E54498"/>
    <w:rsid w:val="00E73CC7"/>
    <w:rsid w:val="00E81682"/>
    <w:rsid w:val="00E82CBA"/>
    <w:rsid w:val="00E839EC"/>
    <w:rsid w:val="00EC24A4"/>
    <w:rsid w:val="00ED10D7"/>
    <w:rsid w:val="00EE2E3D"/>
    <w:rsid w:val="00EF37FC"/>
    <w:rsid w:val="00EF7186"/>
    <w:rsid w:val="00F315F3"/>
    <w:rsid w:val="00F3633E"/>
    <w:rsid w:val="00F56F7D"/>
    <w:rsid w:val="00F614CC"/>
    <w:rsid w:val="00F756C3"/>
    <w:rsid w:val="00FB2CCD"/>
    <w:rsid w:val="00FB7D81"/>
    <w:rsid w:val="00FE32AA"/>
    <w:rsid w:val="00FE6237"/>
    <w:rsid w:val="00FE7C75"/>
    <w:rsid w:val="00FF2E86"/>
  </w:rsids>
  <m:mathPr>
    <m:mathFont m:val="Cambria Math"/>
    <m:brkBin m:val="before"/>
    <m:brkBinSub m:val="--"/>
    <m:smallFrac m:val="0"/>
    <m:dispDef/>
    <m:lMargin m:val="0"/>
    <m:rMargin m:val="0"/>
    <m:defJc m:val="centerGroup"/>
    <m:wrapIndent m:val="1440"/>
    <m:intLim m:val="subSup"/>
    <m:naryLim m:val="undOvr"/>
  </m:mathPr>
  <w:themeFontLang w:val="es-DO"/>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785A8AF0"/>
  <w15:docId w15:val="{F6CB8788-C9E4-49A6-8A41-AB45CBA8A6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D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C161E"/>
  </w:style>
  <w:style w:type="paragraph" w:styleId="Ttulo1">
    <w:name w:val="heading 1"/>
    <w:basedOn w:val="Normal"/>
    <w:next w:val="Normal"/>
    <w:link w:val="Ttulo1Car"/>
    <w:uiPriority w:val="9"/>
    <w:qFormat/>
    <w:rsid w:val="00AA4536"/>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ar"/>
    <w:uiPriority w:val="9"/>
    <w:unhideWhenUsed/>
    <w:qFormat/>
    <w:rsid w:val="00AA4536"/>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ar"/>
    <w:uiPriority w:val="9"/>
    <w:semiHidden/>
    <w:unhideWhenUsed/>
    <w:qFormat/>
    <w:rsid w:val="00AB7354"/>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E839EC"/>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E839EC"/>
  </w:style>
  <w:style w:type="paragraph" w:styleId="Piedepgina">
    <w:name w:val="footer"/>
    <w:basedOn w:val="Normal"/>
    <w:link w:val="PiedepginaCar"/>
    <w:uiPriority w:val="99"/>
    <w:unhideWhenUsed/>
    <w:rsid w:val="00E839EC"/>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E839EC"/>
  </w:style>
  <w:style w:type="paragraph" w:customStyle="1" w:styleId="msonospacing0">
    <w:name w:val="msonospacing"/>
    <w:rsid w:val="00E839EC"/>
    <w:pPr>
      <w:spacing w:after="0" w:line="240" w:lineRule="auto"/>
    </w:pPr>
    <w:rPr>
      <w:rFonts w:ascii="Calibri" w:eastAsia="Calibri" w:hAnsi="Calibri" w:cs="Times New Roman"/>
      <w:lang w:val="es-ES"/>
    </w:rPr>
  </w:style>
  <w:style w:type="table" w:styleId="Tablaconcuadrcula">
    <w:name w:val="Table Grid"/>
    <w:basedOn w:val="Tablanormal"/>
    <w:uiPriority w:val="59"/>
    <w:rsid w:val="000064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1B0C56"/>
    <w:rPr>
      <w:sz w:val="16"/>
      <w:szCs w:val="16"/>
    </w:rPr>
  </w:style>
  <w:style w:type="paragraph" w:styleId="Textocomentario">
    <w:name w:val="annotation text"/>
    <w:basedOn w:val="Normal"/>
    <w:link w:val="TextocomentarioCar"/>
    <w:uiPriority w:val="99"/>
    <w:semiHidden/>
    <w:unhideWhenUsed/>
    <w:rsid w:val="001B0C56"/>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1B0C56"/>
    <w:rPr>
      <w:sz w:val="20"/>
      <w:szCs w:val="20"/>
    </w:rPr>
  </w:style>
  <w:style w:type="paragraph" w:styleId="Asuntodelcomentario">
    <w:name w:val="annotation subject"/>
    <w:basedOn w:val="Textocomentario"/>
    <w:next w:val="Textocomentario"/>
    <w:link w:val="AsuntodelcomentarioCar"/>
    <w:uiPriority w:val="99"/>
    <w:semiHidden/>
    <w:unhideWhenUsed/>
    <w:rsid w:val="001B0C56"/>
    <w:rPr>
      <w:b/>
      <w:bCs/>
    </w:rPr>
  </w:style>
  <w:style w:type="character" w:customStyle="1" w:styleId="AsuntodelcomentarioCar">
    <w:name w:val="Asunto del comentario Car"/>
    <w:basedOn w:val="TextocomentarioCar"/>
    <w:link w:val="Asuntodelcomentario"/>
    <w:uiPriority w:val="99"/>
    <w:semiHidden/>
    <w:rsid w:val="001B0C56"/>
    <w:rPr>
      <w:b/>
      <w:bCs/>
      <w:sz w:val="20"/>
      <w:szCs w:val="20"/>
    </w:rPr>
  </w:style>
  <w:style w:type="paragraph" w:styleId="Textodeglobo">
    <w:name w:val="Balloon Text"/>
    <w:basedOn w:val="Normal"/>
    <w:link w:val="TextodegloboCar"/>
    <w:uiPriority w:val="99"/>
    <w:semiHidden/>
    <w:unhideWhenUsed/>
    <w:rsid w:val="001B0C56"/>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1B0C56"/>
    <w:rPr>
      <w:rFonts w:ascii="Segoe UI" w:hAnsi="Segoe UI" w:cs="Segoe UI"/>
      <w:sz w:val="18"/>
      <w:szCs w:val="18"/>
    </w:rPr>
  </w:style>
  <w:style w:type="character" w:customStyle="1" w:styleId="vortalspan">
    <w:name w:val="vortalspan"/>
    <w:basedOn w:val="Fuentedeprrafopredeter"/>
    <w:rsid w:val="007C16C7"/>
  </w:style>
  <w:style w:type="character" w:styleId="Hipervnculo">
    <w:name w:val="Hyperlink"/>
    <w:basedOn w:val="Fuentedeprrafopredeter"/>
    <w:uiPriority w:val="99"/>
    <w:semiHidden/>
    <w:unhideWhenUsed/>
    <w:rsid w:val="00E54498"/>
    <w:rPr>
      <w:color w:val="0000FF"/>
      <w:u w:val="single"/>
    </w:rPr>
  </w:style>
  <w:style w:type="paragraph" w:styleId="Sinespaciado">
    <w:name w:val="No Spacing"/>
    <w:uiPriority w:val="1"/>
    <w:qFormat/>
    <w:rsid w:val="00AA4536"/>
    <w:pPr>
      <w:spacing w:after="0" w:line="240" w:lineRule="auto"/>
    </w:pPr>
  </w:style>
  <w:style w:type="character" w:customStyle="1" w:styleId="Ttulo1Car">
    <w:name w:val="Título 1 Car"/>
    <w:basedOn w:val="Fuentedeprrafopredeter"/>
    <w:link w:val="Ttulo1"/>
    <w:uiPriority w:val="9"/>
    <w:rsid w:val="00AA4536"/>
    <w:rPr>
      <w:rFonts w:asciiTheme="majorHAnsi" w:eastAsiaTheme="majorEastAsia" w:hAnsiTheme="majorHAnsi" w:cstheme="majorBidi"/>
      <w:color w:val="365F91" w:themeColor="accent1" w:themeShade="BF"/>
      <w:sz w:val="32"/>
      <w:szCs w:val="32"/>
    </w:rPr>
  </w:style>
  <w:style w:type="character" w:customStyle="1" w:styleId="Ttulo2Car">
    <w:name w:val="Título 2 Car"/>
    <w:basedOn w:val="Fuentedeprrafopredeter"/>
    <w:link w:val="Ttulo2"/>
    <w:uiPriority w:val="9"/>
    <w:rsid w:val="00AA4536"/>
    <w:rPr>
      <w:rFonts w:asciiTheme="majorHAnsi" w:eastAsiaTheme="majorEastAsia" w:hAnsiTheme="majorHAnsi" w:cstheme="majorBidi"/>
      <w:color w:val="365F91" w:themeColor="accent1" w:themeShade="BF"/>
      <w:sz w:val="26"/>
      <w:szCs w:val="26"/>
    </w:rPr>
  </w:style>
  <w:style w:type="paragraph" w:styleId="Prrafodelista">
    <w:name w:val="List Paragraph"/>
    <w:basedOn w:val="Normal"/>
    <w:uiPriority w:val="34"/>
    <w:qFormat/>
    <w:rsid w:val="00644153"/>
    <w:pPr>
      <w:ind w:left="720"/>
      <w:contextualSpacing/>
    </w:pPr>
  </w:style>
  <w:style w:type="character" w:customStyle="1" w:styleId="Ttulo3Car">
    <w:name w:val="Título 3 Car"/>
    <w:basedOn w:val="Fuentedeprrafopredeter"/>
    <w:link w:val="Ttulo3"/>
    <w:uiPriority w:val="9"/>
    <w:semiHidden/>
    <w:rsid w:val="00AB7354"/>
    <w:rPr>
      <w:rFonts w:asciiTheme="majorHAnsi" w:eastAsiaTheme="majorEastAsia" w:hAnsiTheme="majorHAnsi" w:cstheme="majorBidi"/>
      <w:color w:val="243F60" w:themeColor="accent1" w:themeShade="7F"/>
      <w:sz w:val="24"/>
      <w:szCs w:val="24"/>
    </w:rPr>
  </w:style>
  <w:style w:type="paragraph" w:styleId="Textoindependiente">
    <w:name w:val="Body Text"/>
    <w:basedOn w:val="Normal"/>
    <w:link w:val="TextoindependienteCar"/>
    <w:unhideWhenUsed/>
    <w:rsid w:val="00AB7354"/>
    <w:pPr>
      <w:autoSpaceDE w:val="0"/>
      <w:autoSpaceDN w:val="0"/>
      <w:adjustRightInd w:val="0"/>
      <w:spacing w:after="0" w:line="240" w:lineRule="auto"/>
      <w:jc w:val="both"/>
    </w:pPr>
    <w:rPr>
      <w:rFonts w:ascii="Times New Roman" w:eastAsia="Times New Roman" w:hAnsi="Times New Roman" w:cs="Times New Roman"/>
      <w:color w:val="000000"/>
      <w:sz w:val="24"/>
      <w:szCs w:val="24"/>
      <w:lang w:eastAsia="es-ES"/>
    </w:rPr>
  </w:style>
  <w:style w:type="character" w:customStyle="1" w:styleId="TextoindependienteCar">
    <w:name w:val="Texto independiente Car"/>
    <w:basedOn w:val="Fuentedeprrafopredeter"/>
    <w:link w:val="Textoindependiente"/>
    <w:rsid w:val="00AB7354"/>
    <w:rPr>
      <w:rFonts w:ascii="Times New Roman" w:eastAsia="Times New Roman" w:hAnsi="Times New Roman" w:cs="Times New Roman"/>
      <w:color w:val="000000"/>
      <w:sz w:val="24"/>
      <w:szCs w:val="24"/>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5618095">
      <w:bodyDiv w:val="1"/>
      <w:marLeft w:val="0"/>
      <w:marRight w:val="0"/>
      <w:marTop w:val="0"/>
      <w:marBottom w:val="0"/>
      <w:divBdr>
        <w:top w:val="none" w:sz="0" w:space="0" w:color="auto"/>
        <w:left w:val="none" w:sz="0" w:space="0" w:color="auto"/>
        <w:bottom w:val="none" w:sz="0" w:space="0" w:color="auto"/>
        <w:right w:val="none" w:sz="0" w:space="0" w:color="auto"/>
      </w:divBdr>
      <w:divsChild>
        <w:div w:id="708338906">
          <w:marLeft w:val="0"/>
          <w:marRight w:val="0"/>
          <w:marTop w:val="0"/>
          <w:marBottom w:val="0"/>
          <w:divBdr>
            <w:top w:val="none" w:sz="0" w:space="0" w:color="auto"/>
            <w:left w:val="none" w:sz="0" w:space="0" w:color="auto"/>
            <w:bottom w:val="none" w:sz="0" w:space="0" w:color="auto"/>
            <w:right w:val="none" w:sz="0" w:space="0" w:color="auto"/>
          </w:divBdr>
        </w:div>
      </w:divsChild>
    </w:div>
    <w:div w:id="802382684">
      <w:bodyDiv w:val="1"/>
      <w:marLeft w:val="0"/>
      <w:marRight w:val="0"/>
      <w:marTop w:val="0"/>
      <w:marBottom w:val="0"/>
      <w:divBdr>
        <w:top w:val="none" w:sz="0" w:space="0" w:color="auto"/>
        <w:left w:val="none" w:sz="0" w:space="0" w:color="auto"/>
        <w:bottom w:val="none" w:sz="0" w:space="0" w:color="auto"/>
        <w:right w:val="none" w:sz="0" w:space="0" w:color="auto"/>
      </w:divBdr>
    </w:div>
    <w:div w:id="1318534999">
      <w:bodyDiv w:val="1"/>
      <w:marLeft w:val="0"/>
      <w:marRight w:val="0"/>
      <w:marTop w:val="0"/>
      <w:marBottom w:val="0"/>
      <w:divBdr>
        <w:top w:val="none" w:sz="0" w:space="0" w:color="auto"/>
        <w:left w:val="none" w:sz="0" w:space="0" w:color="auto"/>
        <w:bottom w:val="none" w:sz="0" w:space="0" w:color="auto"/>
        <w:right w:val="none" w:sz="0" w:space="0" w:color="auto"/>
      </w:divBdr>
    </w:div>
    <w:div w:id="1652753261">
      <w:bodyDiv w:val="1"/>
      <w:marLeft w:val="0"/>
      <w:marRight w:val="0"/>
      <w:marTop w:val="0"/>
      <w:marBottom w:val="0"/>
      <w:divBdr>
        <w:top w:val="none" w:sz="0" w:space="0" w:color="auto"/>
        <w:left w:val="none" w:sz="0" w:space="0" w:color="auto"/>
        <w:bottom w:val="none" w:sz="0" w:space="0" w:color="auto"/>
        <w:right w:val="none" w:sz="0" w:space="0" w:color="auto"/>
      </w:divBdr>
    </w:div>
    <w:div w:id="1780299465">
      <w:bodyDiv w:val="1"/>
      <w:marLeft w:val="0"/>
      <w:marRight w:val="0"/>
      <w:marTop w:val="0"/>
      <w:marBottom w:val="0"/>
      <w:divBdr>
        <w:top w:val="none" w:sz="0" w:space="0" w:color="auto"/>
        <w:left w:val="none" w:sz="0" w:space="0" w:color="auto"/>
        <w:bottom w:val="none" w:sz="0" w:space="0" w:color="auto"/>
        <w:right w:val="none" w:sz="0" w:space="0" w:color="auto"/>
      </w:divBdr>
    </w:div>
    <w:div w:id="1874881709">
      <w:bodyDiv w:val="1"/>
      <w:marLeft w:val="0"/>
      <w:marRight w:val="0"/>
      <w:marTop w:val="0"/>
      <w:marBottom w:val="0"/>
      <w:divBdr>
        <w:top w:val="none" w:sz="0" w:space="0" w:color="auto"/>
        <w:left w:val="none" w:sz="0" w:space="0" w:color="auto"/>
        <w:bottom w:val="none" w:sz="0" w:space="0" w:color="auto"/>
        <w:right w:val="none" w:sz="0" w:space="0" w:color="auto"/>
      </w:divBdr>
      <w:divsChild>
        <w:div w:id="195736438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compras@cecanot.com.do"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C1825D-C088-44F1-AEF4-E935C5BCFA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206</TotalTime>
  <Pages>5</Pages>
  <Words>1130</Words>
  <Characters>6215</Characters>
  <Application>Microsoft Office Word</Application>
  <DocSecurity>0</DocSecurity>
  <Lines>51</Lines>
  <Paragraphs>14</Paragraphs>
  <ScaleCrop>false</ScaleCrop>
  <HeadingPairs>
    <vt:vector size="2" baseType="variant">
      <vt:variant>
        <vt:lpstr>Título</vt:lpstr>
      </vt:variant>
      <vt:variant>
        <vt:i4>1</vt:i4>
      </vt:variant>
    </vt:vector>
  </HeadingPairs>
  <TitlesOfParts>
    <vt:vector size="1" baseType="lpstr">
      <vt:lpstr/>
    </vt:vector>
  </TitlesOfParts>
  <Company>CECANOT</Company>
  <LinksUpToDate>false</LinksUpToDate>
  <CharactersWithSpaces>7331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priscila.diaz</dc:creator>
  <cp:keywords/>
  <dc:description/>
  <cp:lastModifiedBy>Glennys Ceballos</cp:lastModifiedBy>
  <cp:revision>5</cp:revision>
  <cp:lastPrinted>2020-05-06T14:59:00Z</cp:lastPrinted>
  <dcterms:created xsi:type="dcterms:W3CDTF">2020-08-19T13:47:00Z</dcterms:created>
  <dcterms:modified xsi:type="dcterms:W3CDTF">2020-08-25T13:21:00Z</dcterms:modified>
</cp:coreProperties>
</file>